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auto"/>
        <w:jc w:val="center"/>
        <w:rPr>
          <w:rFonts w:ascii="Times New Roman" w:hAnsi="Times New Roman" w:eastAsiaTheme="minorEastAsia"/>
          <w:b/>
          <w:bCs/>
          <w:sz w:val="40"/>
          <w:szCs w:val="36"/>
        </w:rPr>
      </w:pPr>
    </w:p>
    <w:p>
      <w:pPr>
        <w:widowControl/>
        <w:spacing w:line="660" w:lineRule="auto"/>
        <w:jc w:val="center"/>
        <w:rPr>
          <w:rFonts w:ascii="Times New Roman" w:hAnsi="Times New Roman" w:eastAsiaTheme="minorEastAsia"/>
          <w:b/>
          <w:bCs/>
          <w:sz w:val="40"/>
          <w:szCs w:val="36"/>
        </w:rPr>
      </w:pPr>
    </w:p>
    <w:p>
      <w:pPr>
        <w:widowControl/>
        <w:spacing w:line="660" w:lineRule="auto"/>
        <w:jc w:val="center"/>
        <w:rPr>
          <w:rFonts w:ascii="Times New Roman" w:hAnsi="Times New Roman" w:eastAsiaTheme="minorEastAsia"/>
          <w:b/>
          <w:bCs/>
          <w:sz w:val="40"/>
          <w:szCs w:val="36"/>
        </w:rPr>
      </w:pPr>
    </w:p>
    <w:p>
      <w:pPr>
        <w:widowControl/>
        <w:spacing w:line="600" w:lineRule="atLeast"/>
        <w:jc w:val="center"/>
        <w:rPr>
          <w:rFonts w:ascii="Times New Roman" w:hAnsi="Times New Roman" w:eastAsiaTheme="minorEastAsia"/>
          <w:b/>
          <w:bCs/>
          <w:spacing w:val="76"/>
          <w:sz w:val="36"/>
          <w:szCs w:val="36"/>
        </w:rPr>
      </w:pPr>
      <w:r>
        <w:rPr>
          <w:rFonts w:ascii="Times New Roman" w:hAnsi="Times New Roman" w:eastAsiaTheme="minorEastAsia"/>
          <w:b/>
          <w:bCs/>
          <w:sz w:val="72"/>
          <w:szCs w:val="84"/>
        </w:rPr>
        <w:t>建设项目环境影响报告表</w:t>
      </w: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atLeast"/>
        <w:jc w:val="center"/>
        <w:rPr>
          <w:rFonts w:ascii="Times New Roman" w:hAnsi="Times New Roman" w:eastAsiaTheme="minorEastAsia"/>
          <w:b/>
          <w:bCs/>
          <w:spacing w:val="16"/>
          <w:sz w:val="36"/>
          <w:szCs w:val="32"/>
        </w:rPr>
      </w:pPr>
    </w:p>
    <w:p>
      <w:pPr>
        <w:spacing w:line="700" w:lineRule="exact"/>
        <w:ind w:firstLine="1269" w:firstLineChars="395"/>
        <w:rPr>
          <w:rFonts w:ascii="Times New Roman" w:hAnsi="Times New Roman" w:eastAsiaTheme="minorEastAsia"/>
          <w:b/>
          <w:bCs/>
          <w:sz w:val="32"/>
          <w:szCs w:val="32"/>
          <w:u w:val="single"/>
        </w:rPr>
      </w:pPr>
      <w:r>
        <w:rPr>
          <w:rFonts w:ascii="Times New Roman" w:hAnsi="Times New Roman" w:eastAsiaTheme="minorEastAsia"/>
          <w:b/>
          <w:sz w:val="32"/>
        </w:rPr>
        <w:t>项目名称：</w:t>
      </w:r>
      <w:r>
        <w:rPr>
          <w:rFonts w:hint="eastAsia" w:ascii="Times New Roman" w:hAnsi="Times New Roman" w:eastAsiaTheme="minorEastAsia"/>
          <w:b/>
          <w:sz w:val="32"/>
          <w:u w:val="single"/>
        </w:rPr>
        <w:t xml:space="preserve"> </w:t>
      </w:r>
      <w:r>
        <w:rPr>
          <w:rFonts w:ascii="Times New Roman" w:hAnsi="Times New Roman" w:eastAsiaTheme="minorEastAsia"/>
          <w:b/>
          <w:bCs/>
          <w:sz w:val="32"/>
          <w:szCs w:val="32"/>
          <w:u w:val="single"/>
        </w:rPr>
        <w:t>同江市桥头加油站项目</w:t>
      </w:r>
      <w:r>
        <w:rPr>
          <w:rFonts w:hint="eastAsia" w:ascii="Times New Roman" w:hAnsi="Times New Roman" w:eastAsiaTheme="minorEastAsia"/>
          <w:b/>
          <w:bCs/>
          <w:sz w:val="32"/>
          <w:szCs w:val="32"/>
          <w:u w:val="single"/>
        </w:rPr>
        <w:t xml:space="preserve">     </w:t>
      </w:r>
    </w:p>
    <w:p>
      <w:pPr>
        <w:spacing w:line="700" w:lineRule="exact"/>
        <w:ind w:firstLine="1285" w:firstLineChars="400"/>
        <w:rPr>
          <w:rFonts w:ascii="Times New Roman" w:hAnsi="Times New Roman" w:eastAsiaTheme="minorEastAsia"/>
          <w:b/>
          <w:bCs/>
          <w:sz w:val="32"/>
          <w:szCs w:val="32"/>
          <w:u w:val="single"/>
        </w:rPr>
      </w:pPr>
      <w:r>
        <w:rPr>
          <w:rFonts w:ascii="Times New Roman" w:hAnsi="Times New Roman" w:eastAsiaTheme="minorEastAsia"/>
          <w:b/>
          <w:sz w:val="32"/>
        </w:rPr>
        <w:t>建设单</w:t>
      </w:r>
      <w:r>
        <w:rPr>
          <w:rFonts w:ascii="Times New Roman" w:hAnsi="Times New Roman" w:eastAsiaTheme="minorEastAsia"/>
          <w:b/>
          <w:sz w:val="32"/>
          <w:szCs w:val="32"/>
        </w:rPr>
        <w:t>位</w:t>
      </w:r>
      <w:r>
        <w:rPr>
          <w:rFonts w:ascii="Times New Roman" w:hAnsi="Times New Roman" w:eastAsiaTheme="minorEastAsia"/>
          <w:b/>
          <w:bCs/>
          <w:sz w:val="32"/>
          <w:szCs w:val="32"/>
        </w:rPr>
        <w:t>：</w:t>
      </w:r>
      <w:r>
        <w:rPr>
          <w:rFonts w:ascii="Times New Roman" w:hAnsi="Times New Roman" w:eastAsiaTheme="minorEastAsia"/>
          <w:b/>
          <w:bCs/>
          <w:sz w:val="32"/>
          <w:szCs w:val="32"/>
          <w:u w:val="single"/>
        </w:rPr>
        <w:t xml:space="preserve"> 同江市桥头加油站</w:t>
      </w:r>
      <w:r>
        <w:rPr>
          <w:rFonts w:hint="eastAsia" w:ascii="Times New Roman" w:hAnsi="Times New Roman" w:eastAsiaTheme="minorEastAsia"/>
          <w:b/>
          <w:bCs/>
          <w:sz w:val="32"/>
          <w:szCs w:val="32"/>
          <w:u w:val="single"/>
        </w:rPr>
        <w:t xml:space="preserve">         </w:t>
      </w:r>
    </w:p>
    <w:p>
      <w:pPr>
        <w:widowControl/>
        <w:spacing w:line="700" w:lineRule="atLeast"/>
        <w:jc w:val="center"/>
        <w:rPr>
          <w:rFonts w:ascii="Times New Roman" w:hAnsi="Times New Roman" w:eastAsiaTheme="minorEastAsia"/>
          <w:b/>
          <w:bCs/>
          <w:sz w:val="32"/>
          <w:szCs w:val="32"/>
        </w:rPr>
      </w:pPr>
    </w:p>
    <w:p>
      <w:pPr>
        <w:widowControl/>
        <w:spacing w:line="700" w:lineRule="atLeast"/>
        <w:jc w:val="center"/>
        <w:rPr>
          <w:rFonts w:ascii="Times New Roman" w:hAnsi="Times New Roman" w:eastAsiaTheme="minorEastAsia"/>
          <w:b/>
          <w:bCs/>
          <w:sz w:val="32"/>
          <w:szCs w:val="32"/>
        </w:rPr>
      </w:pPr>
      <w:r>
        <w:rPr>
          <w:rFonts w:ascii="Times New Roman" w:hAnsi="Times New Roman" w:eastAsiaTheme="minorEastAsia"/>
          <w:b/>
          <w:bCs/>
          <w:sz w:val="32"/>
          <w:szCs w:val="32"/>
        </w:rPr>
        <w:t>编制单位：</w:t>
      </w:r>
      <w:r>
        <w:rPr>
          <w:rFonts w:hint="eastAsia" w:ascii="Times New Roman" w:hAnsi="Times New Roman" w:eastAsiaTheme="minorEastAsia"/>
          <w:b/>
          <w:bCs/>
          <w:sz w:val="32"/>
          <w:szCs w:val="32"/>
        </w:rPr>
        <w:t>哈尔滨国环宏节能环保技术有限责任公司</w:t>
      </w:r>
    </w:p>
    <w:p>
      <w:pPr>
        <w:widowControl/>
        <w:spacing w:line="700" w:lineRule="atLeast"/>
        <w:jc w:val="center"/>
        <w:rPr>
          <w:rFonts w:ascii="Times New Roman" w:hAnsi="Times New Roman" w:eastAsiaTheme="minorEastAsia"/>
          <w:szCs w:val="21"/>
        </w:rPr>
      </w:pPr>
      <w:r>
        <w:rPr>
          <w:rFonts w:ascii="Times New Roman" w:hAnsi="Times New Roman" w:eastAsiaTheme="minorEastAsia"/>
          <w:b/>
          <w:bCs/>
          <w:spacing w:val="16"/>
          <w:sz w:val="32"/>
          <w:szCs w:val="32"/>
        </w:rPr>
        <w:t>编制日期：二〇二〇年</w:t>
      </w:r>
      <w:r>
        <w:rPr>
          <w:rFonts w:hint="eastAsia" w:ascii="Times New Roman" w:hAnsi="Times New Roman" w:eastAsiaTheme="minorEastAsia"/>
          <w:b/>
          <w:bCs/>
          <w:spacing w:val="16"/>
          <w:sz w:val="32"/>
          <w:szCs w:val="32"/>
        </w:rPr>
        <w:t>六</w:t>
      </w:r>
      <w:r>
        <w:rPr>
          <w:rFonts w:ascii="Times New Roman" w:hAnsi="Times New Roman" w:eastAsiaTheme="minorEastAsia"/>
          <w:b/>
          <w:bCs/>
          <w:spacing w:val="16"/>
          <w:sz w:val="32"/>
          <w:szCs w:val="32"/>
        </w:rPr>
        <w:t>月</w:t>
      </w:r>
    </w:p>
    <w:p>
      <w:pPr>
        <w:jc w:val="center"/>
        <w:rPr>
          <w:rFonts w:ascii="Times New Roman" w:hAnsi="Times New Roman" w:eastAsiaTheme="minorEastAsia"/>
          <w:snapToGrid w:val="0"/>
          <w:kern w:val="0"/>
          <w:sz w:val="32"/>
        </w:rPr>
        <w:sectPr>
          <w:footerReference r:id="rId3" w:type="default"/>
          <w:pgSz w:w="11906" w:h="16838"/>
          <w:pgMar w:top="1247" w:right="1797" w:bottom="1440" w:left="1797" w:header="851" w:footer="992" w:gutter="0"/>
          <w:pgNumType w:start="0"/>
          <w:cols w:space="720" w:num="1"/>
          <w:titlePg/>
          <w:docGrid w:type="lines" w:linePitch="312" w:charSpace="0"/>
        </w:sectPr>
      </w:pPr>
    </w:p>
    <w:p>
      <w:pPr>
        <w:jc w:val="center"/>
        <w:rPr>
          <w:rFonts w:ascii="Times New Roman" w:hAnsi="Times New Roman" w:eastAsiaTheme="minorEastAsia"/>
          <w:b/>
          <w:bCs/>
          <w:caps/>
          <w:sz w:val="44"/>
          <w:szCs w:val="44"/>
        </w:rPr>
      </w:pPr>
      <w:r>
        <w:rPr>
          <w:rFonts w:ascii="Times New Roman" w:hAnsi="Times New Roman" w:eastAsiaTheme="minorEastAsia"/>
          <w:b/>
          <w:bCs/>
          <w:caps/>
          <w:sz w:val="44"/>
          <w:szCs w:val="44"/>
        </w:rPr>
        <w:t>目  录</w:t>
      </w:r>
    </w:p>
    <w:p>
      <w:pPr>
        <w:pStyle w:val="18"/>
        <w:rPr>
          <w:rFonts w:asciiTheme="minorEastAsia" w:hAnsiTheme="minorEastAsia" w:eastAsiaTheme="minorEastAsia" w:cstheme="minorBidi"/>
          <w:sz w:val="28"/>
          <w:szCs w:val="28"/>
        </w:rPr>
      </w:pPr>
      <w:r>
        <w:rPr>
          <w:rFonts w:asciiTheme="minorEastAsia" w:hAnsiTheme="minorEastAsia" w:eastAsiaTheme="minorEastAsia"/>
          <w:b/>
          <w:bCs/>
          <w:caps/>
          <w:sz w:val="28"/>
          <w:szCs w:val="28"/>
        </w:rPr>
        <w:fldChar w:fldCharType="begin"/>
      </w:r>
      <w:r>
        <w:rPr>
          <w:rFonts w:asciiTheme="minorEastAsia" w:hAnsiTheme="minorEastAsia" w:eastAsiaTheme="minorEastAsia"/>
          <w:b/>
          <w:bCs/>
          <w:caps/>
          <w:sz w:val="28"/>
          <w:szCs w:val="28"/>
        </w:rPr>
        <w:instrText xml:space="preserve"> TOC \o "1-1" \h \z \u </w:instrText>
      </w:r>
      <w:r>
        <w:rPr>
          <w:rFonts w:asciiTheme="minorEastAsia" w:hAnsiTheme="minorEastAsia" w:eastAsiaTheme="minorEastAsia"/>
          <w:b/>
          <w:bCs/>
          <w:caps/>
          <w:sz w:val="28"/>
          <w:szCs w:val="28"/>
        </w:rPr>
        <w:fldChar w:fldCharType="separate"/>
      </w:r>
      <w:r>
        <w:fldChar w:fldCharType="begin"/>
      </w:r>
      <w:r>
        <w:instrText xml:space="preserve"> HYPERLINK \l "_Toc536626587" </w:instrText>
      </w:r>
      <w:r>
        <w:fldChar w:fldCharType="separate"/>
      </w:r>
      <w:r>
        <w:rPr>
          <w:rStyle w:val="30"/>
          <w:rFonts w:hint="eastAsia" w:asciiTheme="minorEastAsia" w:hAnsiTheme="minorEastAsia" w:eastAsiaTheme="minorEastAsia"/>
          <w:b/>
          <w:bCs/>
          <w:color w:val="auto"/>
          <w:kern w:val="18"/>
          <w:sz w:val="28"/>
          <w:szCs w:val="28"/>
        </w:rPr>
        <w:t>建设项目基本情况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_Toc536626587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"_Toc536626588" </w:instrText>
      </w:r>
      <w:r>
        <w:fldChar w:fldCharType="separate"/>
      </w:r>
      <w:r>
        <w:rPr>
          <w:rStyle w:val="30"/>
          <w:rFonts w:hint="eastAsia" w:asciiTheme="minorEastAsia" w:hAnsiTheme="minorEastAsia" w:eastAsiaTheme="minorEastAsia"/>
          <w:b/>
          <w:bCs/>
          <w:color w:val="auto"/>
          <w:kern w:val="18"/>
          <w:sz w:val="28"/>
          <w:szCs w:val="28"/>
        </w:rPr>
        <w:t>建设项目所在地自然环境简况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_Toc536626588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11</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"_Toc536626589" </w:instrText>
      </w:r>
      <w:r>
        <w:fldChar w:fldCharType="separate"/>
      </w:r>
      <w:r>
        <w:rPr>
          <w:rStyle w:val="30"/>
          <w:rFonts w:hint="eastAsia" w:asciiTheme="minorEastAsia" w:hAnsiTheme="minorEastAsia" w:eastAsiaTheme="minorEastAsia"/>
          <w:b/>
          <w:bCs/>
          <w:color w:val="auto"/>
          <w:kern w:val="18"/>
          <w:sz w:val="28"/>
          <w:szCs w:val="28"/>
        </w:rPr>
        <w:t>环境质量状况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_Toc536626589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13</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"_Toc536626590" </w:instrText>
      </w:r>
      <w:r>
        <w:fldChar w:fldCharType="separate"/>
      </w:r>
      <w:r>
        <w:rPr>
          <w:rStyle w:val="30"/>
          <w:rFonts w:hint="eastAsia" w:asciiTheme="minorEastAsia" w:hAnsiTheme="minorEastAsia" w:eastAsiaTheme="minorEastAsia"/>
          <w:b/>
          <w:bCs/>
          <w:color w:val="auto"/>
          <w:kern w:val="18"/>
          <w:sz w:val="28"/>
          <w:szCs w:val="28"/>
        </w:rPr>
        <w:t>评价适用标准</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_Toc536626590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18</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"_Toc536626591" </w:instrText>
      </w:r>
      <w:r>
        <w:fldChar w:fldCharType="separate"/>
      </w:r>
      <w:r>
        <w:rPr>
          <w:rStyle w:val="30"/>
          <w:rFonts w:hint="eastAsia" w:asciiTheme="minorEastAsia" w:hAnsiTheme="minorEastAsia" w:eastAsiaTheme="minorEastAsia"/>
          <w:b/>
          <w:bCs/>
          <w:color w:val="auto"/>
          <w:kern w:val="18"/>
          <w:sz w:val="28"/>
          <w:szCs w:val="28"/>
        </w:rPr>
        <w:t>建设项目工程分析</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_Toc536626591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23</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"_Toc536626592" </w:instrText>
      </w:r>
      <w:r>
        <w:fldChar w:fldCharType="separate"/>
      </w:r>
      <w:r>
        <w:rPr>
          <w:rStyle w:val="30"/>
          <w:rFonts w:hint="eastAsia" w:asciiTheme="minorEastAsia" w:hAnsiTheme="minorEastAsia" w:eastAsiaTheme="minorEastAsia"/>
          <w:b/>
          <w:bCs/>
          <w:color w:val="auto"/>
          <w:kern w:val="18"/>
          <w:sz w:val="28"/>
          <w:szCs w:val="28"/>
        </w:rPr>
        <w:t>项目主要污染物产生及预计排放情况</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_Toc536626592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32</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"_Toc536626593" </w:instrText>
      </w:r>
      <w:r>
        <w:fldChar w:fldCharType="separate"/>
      </w:r>
      <w:r>
        <w:rPr>
          <w:rStyle w:val="30"/>
          <w:rFonts w:hint="eastAsia" w:asciiTheme="minorEastAsia" w:hAnsiTheme="minorEastAsia" w:eastAsiaTheme="minorEastAsia"/>
          <w:b/>
          <w:bCs/>
          <w:color w:val="auto"/>
          <w:kern w:val="18"/>
          <w:sz w:val="28"/>
          <w:szCs w:val="28"/>
        </w:rPr>
        <w:t>环境影响分析</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_Toc536626593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33</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"_Toc536626594" </w:instrText>
      </w:r>
      <w:r>
        <w:fldChar w:fldCharType="separate"/>
      </w:r>
      <w:r>
        <w:rPr>
          <w:rStyle w:val="30"/>
          <w:rFonts w:hint="eastAsia" w:asciiTheme="minorEastAsia" w:hAnsiTheme="minorEastAsia" w:eastAsiaTheme="minorEastAsia"/>
          <w:b/>
          <w:bCs/>
          <w:color w:val="auto"/>
          <w:kern w:val="18"/>
          <w:sz w:val="28"/>
          <w:szCs w:val="28"/>
        </w:rPr>
        <w:t>建设项目拟采取的防治措施及预期治理效果</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_Toc536626594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58</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pStyle w:val="18"/>
        <w:rPr>
          <w:rFonts w:asciiTheme="minorEastAsia" w:hAnsiTheme="minorEastAsia" w:eastAsiaTheme="minorEastAsia" w:cstheme="minorBidi"/>
          <w:sz w:val="28"/>
          <w:szCs w:val="28"/>
        </w:rPr>
      </w:pPr>
      <w:r>
        <w:fldChar w:fldCharType="begin"/>
      </w:r>
      <w:r>
        <w:instrText xml:space="preserve"> HYPERLINK \l "_Toc536626595" </w:instrText>
      </w:r>
      <w:r>
        <w:fldChar w:fldCharType="separate"/>
      </w:r>
      <w:r>
        <w:rPr>
          <w:rStyle w:val="30"/>
          <w:rFonts w:hint="eastAsia" w:asciiTheme="minorEastAsia" w:hAnsiTheme="minorEastAsia" w:eastAsiaTheme="minorEastAsia"/>
          <w:b/>
          <w:bCs/>
          <w:color w:val="auto"/>
          <w:kern w:val="18"/>
          <w:sz w:val="28"/>
          <w:szCs w:val="28"/>
        </w:rPr>
        <w:t>结论与建议</w:t>
      </w:r>
      <w:r>
        <w:rPr>
          <w:rFonts w:asciiTheme="minorEastAsia" w:hAnsiTheme="minorEastAsia" w:eastAsiaTheme="minorEastAsia"/>
          <w:sz w:val="28"/>
          <w:szCs w:val="28"/>
        </w:rPr>
        <w:tab/>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_Toc536626595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60</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fldChar w:fldCharType="end"/>
      </w:r>
    </w:p>
    <w:p>
      <w:pPr>
        <w:spacing w:line="480" w:lineRule="auto"/>
        <w:rPr>
          <w:rFonts w:ascii="Times New Roman" w:hAnsi="Times New Roman" w:eastAsiaTheme="minorEastAsia"/>
          <w:b/>
          <w:bCs/>
          <w:caps/>
          <w:sz w:val="24"/>
          <w:szCs w:val="28"/>
        </w:rPr>
      </w:pPr>
      <w:r>
        <w:rPr>
          <w:rFonts w:asciiTheme="minorEastAsia" w:hAnsiTheme="minorEastAsia" w:eastAsiaTheme="minorEastAsia"/>
          <w:b/>
          <w:bCs/>
          <w:caps/>
          <w:sz w:val="28"/>
          <w:szCs w:val="28"/>
        </w:rPr>
        <w:fldChar w:fldCharType="end"/>
      </w:r>
      <w:r>
        <w:rPr>
          <w:rFonts w:ascii="Times New Roman" w:hAnsi="Times New Roman" w:eastAsiaTheme="minorEastAsia"/>
          <w:b/>
          <w:bCs/>
          <w:caps/>
          <w:sz w:val="24"/>
          <w:szCs w:val="28"/>
        </w:rPr>
        <w:t>附件：</w:t>
      </w:r>
    </w:p>
    <w:p>
      <w:pPr>
        <w:spacing w:line="360" w:lineRule="auto"/>
        <w:ind w:firstLine="480" w:firstLineChars="200"/>
        <w:rPr>
          <w:rFonts w:ascii="Times New Roman" w:hAnsi="Times New Roman" w:eastAsiaTheme="minorEastAsia"/>
          <w:sz w:val="24"/>
          <w:szCs w:val="28"/>
        </w:rPr>
      </w:pPr>
      <w:r>
        <w:rPr>
          <w:rFonts w:hint="eastAsia" w:ascii="Times New Roman" w:hAnsi="Times New Roman" w:eastAsiaTheme="minorEastAsia"/>
          <w:sz w:val="24"/>
          <w:szCs w:val="28"/>
        </w:rPr>
        <w:t>附件一  建设用地规划许可证</w:t>
      </w:r>
    </w:p>
    <w:p>
      <w:pPr>
        <w:spacing w:line="360" w:lineRule="auto"/>
        <w:ind w:firstLine="480" w:firstLineChars="200"/>
        <w:rPr>
          <w:rFonts w:ascii="Times New Roman" w:hAnsi="Times New Roman" w:eastAsiaTheme="minorEastAsia"/>
          <w:sz w:val="24"/>
          <w:szCs w:val="28"/>
        </w:rPr>
      </w:pPr>
      <w:r>
        <w:rPr>
          <w:rFonts w:hint="eastAsia" w:ascii="Times New Roman" w:hAnsi="Times New Roman" w:eastAsiaTheme="minorEastAsia"/>
          <w:sz w:val="24"/>
          <w:szCs w:val="28"/>
        </w:rPr>
        <w:t xml:space="preserve">附件二  </w:t>
      </w:r>
      <w:r>
        <w:rPr>
          <w:rFonts w:ascii="Times New Roman" w:hAnsi="Times New Roman" w:eastAsiaTheme="minorEastAsia"/>
          <w:sz w:val="24"/>
          <w:szCs w:val="28"/>
        </w:rPr>
        <w:t>建设项目大气环境影响评价自查表</w:t>
      </w:r>
    </w:p>
    <w:p>
      <w:pPr>
        <w:spacing w:line="360" w:lineRule="auto"/>
        <w:ind w:firstLine="480" w:firstLineChars="200"/>
        <w:rPr>
          <w:rFonts w:ascii="Times New Roman" w:hAnsi="Times New Roman" w:eastAsiaTheme="minorEastAsia"/>
          <w:sz w:val="24"/>
          <w:szCs w:val="28"/>
        </w:rPr>
      </w:pPr>
      <w:r>
        <w:rPr>
          <w:rFonts w:hint="eastAsia" w:ascii="Times New Roman" w:hAnsi="Times New Roman" w:eastAsiaTheme="minorEastAsia"/>
          <w:sz w:val="24"/>
          <w:szCs w:val="28"/>
        </w:rPr>
        <w:t xml:space="preserve">附件三  </w:t>
      </w:r>
      <w:r>
        <w:rPr>
          <w:rFonts w:ascii="Times New Roman" w:hAnsi="Times New Roman" w:eastAsiaTheme="minorEastAsia"/>
          <w:sz w:val="24"/>
          <w:szCs w:val="28"/>
        </w:rPr>
        <w:t>地表水环境影响评价自查表</w:t>
      </w:r>
    </w:p>
    <w:p>
      <w:pPr>
        <w:spacing w:line="360" w:lineRule="auto"/>
        <w:ind w:firstLine="480" w:firstLineChars="200"/>
        <w:rPr>
          <w:rFonts w:ascii="Times New Roman" w:hAnsi="Times New Roman" w:eastAsiaTheme="minorEastAsia"/>
          <w:sz w:val="24"/>
          <w:szCs w:val="28"/>
        </w:rPr>
      </w:pPr>
      <w:r>
        <w:rPr>
          <w:rFonts w:hint="eastAsia" w:ascii="Times New Roman" w:hAnsi="Times New Roman" w:eastAsiaTheme="minorEastAsia"/>
          <w:sz w:val="24"/>
          <w:szCs w:val="28"/>
        </w:rPr>
        <w:t>附件四  环境质量现状检测报告</w:t>
      </w:r>
    </w:p>
    <w:p>
      <w:pPr>
        <w:spacing w:line="480" w:lineRule="auto"/>
        <w:rPr>
          <w:rFonts w:ascii="Times New Roman" w:hAnsi="Times New Roman" w:eastAsiaTheme="minorEastAsia"/>
          <w:sz w:val="24"/>
          <w:szCs w:val="28"/>
        </w:rPr>
      </w:pPr>
      <w:r>
        <w:rPr>
          <w:rFonts w:ascii="Times New Roman" w:hAnsi="Times New Roman" w:eastAsiaTheme="minorEastAsia"/>
          <w:b/>
          <w:bCs/>
          <w:caps/>
          <w:sz w:val="24"/>
          <w:szCs w:val="28"/>
        </w:rPr>
        <w:t>附图：</w:t>
      </w:r>
    </w:p>
    <w:p>
      <w:pPr>
        <w:spacing w:line="360" w:lineRule="auto"/>
        <w:ind w:firstLine="480" w:firstLineChars="200"/>
        <w:rPr>
          <w:rFonts w:ascii="Times New Roman" w:hAnsi="Times New Roman" w:eastAsiaTheme="minorEastAsia"/>
          <w:sz w:val="24"/>
          <w:szCs w:val="28"/>
        </w:rPr>
      </w:pPr>
      <w:r>
        <w:rPr>
          <w:rFonts w:ascii="Times New Roman" w:hAnsi="Times New Roman" w:eastAsiaTheme="minorEastAsia"/>
          <w:sz w:val="24"/>
          <w:szCs w:val="28"/>
        </w:rPr>
        <w:t>附图一  项目地理位置图</w:t>
      </w:r>
    </w:p>
    <w:p>
      <w:pPr>
        <w:spacing w:line="360" w:lineRule="auto"/>
        <w:ind w:firstLine="480" w:firstLineChars="200"/>
        <w:rPr>
          <w:rFonts w:ascii="Times New Roman" w:hAnsi="Times New Roman" w:eastAsiaTheme="minorEastAsia"/>
          <w:sz w:val="24"/>
          <w:szCs w:val="28"/>
        </w:rPr>
      </w:pPr>
      <w:r>
        <w:rPr>
          <w:rFonts w:ascii="Times New Roman" w:hAnsi="Times New Roman" w:eastAsiaTheme="minorEastAsia"/>
          <w:sz w:val="24"/>
          <w:szCs w:val="28"/>
        </w:rPr>
        <w:t>附图二  项目平面布置图</w:t>
      </w:r>
    </w:p>
    <w:p>
      <w:pPr>
        <w:spacing w:line="360" w:lineRule="auto"/>
        <w:ind w:firstLine="480" w:firstLineChars="200"/>
        <w:rPr>
          <w:rFonts w:ascii="Times New Roman" w:hAnsi="Times New Roman" w:eastAsiaTheme="minorEastAsia"/>
          <w:sz w:val="24"/>
          <w:szCs w:val="28"/>
        </w:rPr>
      </w:pPr>
      <w:r>
        <w:rPr>
          <w:rFonts w:ascii="Times New Roman" w:hAnsi="Times New Roman" w:eastAsiaTheme="minorEastAsia"/>
          <w:sz w:val="24"/>
          <w:szCs w:val="28"/>
        </w:rPr>
        <w:t>附图三  项目周边关系图</w:t>
      </w:r>
    </w:p>
    <w:p>
      <w:pPr>
        <w:spacing w:line="480" w:lineRule="auto"/>
        <w:jc w:val="left"/>
        <w:rPr>
          <w:rFonts w:ascii="Times New Roman" w:hAnsi="Times New Roman" w:eastAsiaTheme="minorEastAsia"/>
          <w:b/>
          <w:bCs/>
          <w:caps/>
          <w:sz w:val="22"/>
          <w:szCs w:val="21"/>
        </w:rPr>
        <w:sectPr>
          <w:pgSz w:w="11906" w:h="16838"/>
          <w:pgMar w:top="1440" w:right="1800" w:bottom="1440" w:left="1800" w:header="851" w:footer="992" w:gutter="0"/>
          <w:cols w:space="425" w:num="1"/>
          <w:docGrid w:type="lines" w:linePitch="312" w:charSpace="0"/>
        </w:sectPr>
      </w:pPr>
    </w:p>
    <w:p>
      <w:pPr>
        <w:pageBreakBefore/>
        <w:spacing w:line="240" w:lineRule="atLeast"/>
        <w:outlineLvl w:val="0"/>
        <w:rPr>
          <w:rFonts w:ascii="Times New Roman" w:hAnsi="Times New Roman" w:eastAsiaTheme="minorEastAsia"/>
          <w:b/>
          <w:bCs/>
          <w:kern w:val="18"/>
          <w:sz w:val="32"/>
          <w:szCs w:val="28"/>
        </w:rPr>
      </w:pPr>
      <w:bookmarkStart w:id="0" w:name="_Toc536626587"/>
      <w:r>
        <w:rPr>
          <w:rFonts w:ascii="Times New Roman" w:hAnsi="Times New Roman" w:eastAsiaTheme="minorEastAsia"/>
          <w:b/>
          <w:bCs/>
          <w:kern w:val="18"/>
          <w:sz w:val="32"/>
          <w:szCs w:val="28"/>
        </w:rPr>
        <w:t>建设项目基本情况</w:t>
      </w:r>
      <w:bookmarkEnd w:id="0"/>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194"/>
        <w:gridCol w:w="1033"/>
        <w:gridCol w:w="940"/>
        <w:gridCol w:w="168"/>
        <w:gridCol w:w="298"/>
        <w:gridCol w:w="183"/>
        <w:gridCol w:w="721"/>
        <w:gridCol w:w="188"/>
        <w:gridCol w:w="321"/>
        <w:gridCol w:w="169"/>
        <w:gridCol w:w="137"/>
        <w:gridCol w:w="1101"/>
        <w:gridCol w:w="301"/>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3"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项目名称</w:t>
            </w:r>
          </w:p>
        </w:tc>
        <w:tc>
          <w:tcPr>
            <w:tcW w:w="3811" w:type="pct"/>
            <w:gridSpan w:val="13"/>
            <w:vAlign w:val="center"/>
          </w:tcPr>
          <w:p>
            <w:pPr>
              <w:pStyle w:val="40"/>
              <w:rPr>
                <w:rFonts w:ascii="Times New Roman" w:hAnsi="Times New Roman" w:cs="Times New Roman"/>
                <w:sz w:val="28"/>
                <w:szCs w:val="28"/>
              </w:rPr>
            </w:pPr>
            <w:r>
              <w:rPr>
                <w:rFonts w:ascii="Times New Roman" w:hAnsi="Times New Roman" w:cs="Times New Roman"/>
                <w:sz w:val="28"/>
                <w:szCs w:val="28"/>
              </w:rPr>
              <w:t>同江市桥头加油站项目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0"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建设单位</w:t>
            </w:r>
          </w:p>
        </w:tc>
        <w:tc>
          <w:tcPr>
            <w:tcW w:w="3811" w:type="pct"/>
            <w:gridSpan w:val="13"/>
            <w:vAlign w:val="center"/>
          </w:tcPr>
          <w:p>
            <w:pPr>
              <w:pStyle w:val="40"/>
              <w:rPr>
                <w:rFonts w:ascii="Times New Roman" w:hAnsi="Times New Roman" w:cs="Times New Roman"/>
                <w:sz w:val="28"/>
                <w:szCs w:val="28"/>
              </w:rPr>
            </w:pPr>
            <w:r>
              <w:rPr>
                <w:rFonts w:ascii="Times New Roman" w:hAnsi="Times New Roman" w:cs="Times New Roman"/>
                <w:sz w:val="28"/>
                <w:szCs w:val="28"/>
              </w:rPr>
              <w:t>同江市桥头加油站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33"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法人代表</w:t>
            </w:r>
          </w:p>
        </w:tc>
        <w:tc>
          <w:tcPr>
            <w:tcW w:w="1159" w:type="pct"/>
            <w:gridSpan w:val="3"/>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孔英俊</w:t>
            </w:r>
          </w:p>
        </w:tc>
        <w:tc>
          <w:tcPr>
            <w:tcW w:w="926" w:type="pct"/>
            <w:gridSpan w:val="5"/>
            <w:vAlign w:val="center"/>
          </w:tcPr>
          <w:p>
            <w:pPr>
              <w:pStyle w:val="40"/>
              <w:rPr>
                <w:rFonts w:ascii="Times New Roman" w:hAnsi="Times New Roman" w:cs="Times New Roman"/>
                <w:sz w:val="28"/>
                <w:szCs w:val="28"/>
              </w:rPr>
            </w:pPr>
            <w:r>
              <w:rPr>
                <w:rFonts w:ascii="Times New Roman" w:hAnsi="Times New Roman" w:cs="Times New Roman"/>
                <w:sz w:val="28"/>
                <w:szCs w:val="28"/>
              </w:rPr>
              <w:t>联系人</w:t>
            </w:r>
          </w:p>
        </w:tc>
        <w:tc>
          <w:tcPr>
            <w:tcW w:w="1727" w:type="pct"/>
            <w:gridSpan w:val="5"/>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孔英俊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03"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通讯地址</w:t>
            </w:r>
          </w:p>
        </w:tc>
        <w:tc>
          <w:tcPr>
            <w:tcW w:w="3811" w:type="pct"/>
            <w:gridSpan w:val="13"/>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同江市同街公路10公里+300米处路南侧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联系电话</w:t>
            </w:r>
          </w:p>
        </w:tc>
        <w:tc>
          <w:tcPr>
            <w:tcW w:w="1159" w:type="pct"/>
            <w:gridSpan w:val="3"/>
            <w:vAlign w:val="center"/>
          </w:tcPr>
          <w:p>
            <w:pPr>
              <w:pStyle w:val="40"/>
              <w:spacing w:line="360" w:lineRule="auto"/>
              <w:rPr>
                <w:rFonts w:ascii="Times New Roman" w:hAnsi="Times New Roman" w:cs="Times New Roman"/>
                <w:sz w:val="28"/>
                <w:szCs w:val="28"/>
              </w:rPr>
            </w:pPr>
            <w:r>
              <w:rPr>
                <w:rFonts w:ascii="Times New Roman" w:hAnsi="Times New Roman" w:cs="Times New Roman"/>
                <w:sz w:val="28"/>
                <w:szCs w:val="28"/>
              </w:rPr>
              <w:t>18946167733</w:t>
            </w:r>
          </w:p>
        </w:tc>
        <w:tc>
          <w:tcPr>
            <w:tcW w:w="650" w:type="pct"/>
            <w:gridSpan w:val="3"/>
            <w:vAlign w:val="center"/>
          </w:tcPr>
          <w:p>
            <w:pPr>
              <w:pStyle w:val="40"/>
              <w:rPr>
                <w:rFonts w:ascii="Times New Roman" w:hAnsi="Times New Roman" w:cs="Times New Roman"/>
                <w:sz w:val="28"/>
                <w:szCs w:val="28"/>
              </w:rPr>
            </w:pPr>
            <w:r>
              <w:rPr>
                <w:rFonts w:ascii="Times New Roman" w:hAnsi="Times New Roman" w:cs="Times New Roman"/>
                <w:sz w:val="28"/>
                <w:szCs w:val="28"/>
              </w:rPr>
              <w:t>传真</w:t>
            </w:r>
          </w:p>
        </w:tc>
        <w:tc>
          <w:tcPr>
            <w:tcW w:w="441" w:type="pct"/>
            <w:gridSpan w:val="4"/>
            <w:vAlign w:val="center"/>
          </w:tcPr>
          <w:p>
            <w:pPr>
              <w:jc w:val="center"/>
              <w:rPr>
                <w:rFonts w:ascii="Times New Roman" w:hAnsi="Times New Roman" w:eastAsiaTheme="minorEastAsia"/>
                <w:sz w:val="28"/>
                <w:szCs w:val="28"/>
              </w:rPr>
            </w:pPr>
            <w:r>
              <w:rPr>
                <w:rFonts w:ascii="Times New Roman" w:hAnsi="Times New Roman" w:eastAsiaTheme="minorEastAsia"/>
                <w:sz w:val="28"/>
                <w:szCs w:val="28"/>
              </w:rPr>
              <w:t>/</w:t>
            </w:r>
          </w:p>
        </w:tc>
        <w:tc>
          <w:tcPr>
            <w:tcW w:w="759" w:type="pct"/>
            <w:gridSpan w:val="2"/>
            <w:vAlign w:val="center"/>
          </w:tcPr>
          <w:p>
            <w:pPr>
              <w:pStyle w:val="40"/>
              <w:rPr>
                <w:rFonts w:ascii="Times New Roman" w:hAnsi="Times New Roman" w:cs="Times New Roman"/>
                <w:sz w:val="28"/>
                <w:szCs w:val="28"/>
              </w:rPr>
            </w:pPr>
            <w:r>
              <w:rPr>
                <w:rFonts w:ascii="Times New Roman" w:hAnsi="Times New Roman" w:cs="Times New Roman"/>
                <w:sz w:val="28"/>
                <w:szCs w:val="28"/>
              </w:rPr>
              <w:t>邮政编码</w:t>
            </w:r>
          </w:p>
        </w:tc>
        <w:tc>
          <w:tcPr>
            <w:tcW w:w="803" w:type="pct"/>
            <w:vAlign w:val="center"/>
          </w:tcPr>
          <w:p>
            <w:pPr>
              <w:pStyle w:val="40"/>
              <w:rPr>
                <w:rFonts w:ascii="Times New Roman" w:hAnsi="Times New Roman" w:cs="Times New Roman"/>
                <w:sz w:val="28"/>
                <w:szCs w:val="28"/>
              </w:rPr>
            </w:pPr>
            <w:r>
              <w:rPr>
                <w:rFonts w:ascii="Times New Roman" w:hAnsi="Times New Roman" w:cs="Times New Roman"/>
                <w:sz w:val="28"/>
                <w:szCs w:val="28"/>
              </w:rPr>
              <w:t>156400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8"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建设地点</w:t>
            </w:r>
          </w:p>
        </w:tc>
        <w:tc>
          <w:tcPr>
            <w:tcW w:w="3811" w:type="pct"/>
            <w:gridSpan w:val="13"/>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同江市同街公路10公里+300米处路南侧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1"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立项审批</w:t>
            </w:r>
          </w:p>
          <w:p>
            <w:pPr>
              <w:pStyle w:val="40"/>
              <w:rPr>
                <w:rFonts w:ascii="Times New Roman" w:hAnsi="Times New Roman" w:cs="Times New Roman"/>
                <w:sz w:val="28"/>
                <w:szCs w:val="28"/>
              </w:rPr>
            </w:pPr>
            <w:r>
              <w:rPr>
                <w:rFonts w:ascii="Times New Roman" w:hAnsi="Times New Roman" w:cs="Times New Roman"/>
                <w:sz w:val="28"/>
                <w:szCs w:val="28"/>
              </w:rPr>
              <w:t>部门</w:t>
            </w:r>
          </w:p>
        </w:tc>
        <w:tc>
          <w:tcPr>
            <w:tcW w:w="1419" w:type="pct"/>
            <w:gridSpan w:val="5"/>
            <w:vAlign w:val="center"/>
          </w:tcPr>
          <w:p>
            <w:pPr>
              <w:pStyle w:val="40"/>
              <w:rPr>
                <w:rFonts w:ascii="Times New Roman" w:hAnsi="Times New Roman" w:cs="Times New Roman"/>
                <w:sz w:val="28"/>
                <w:szCs w:val="28"/>
              </w:rPr>
            </w:pPr>
            <w:r>
              <w:rPr>
                <w:rFonts w:ascii="Times New Roman" w:hAnsi="Times New Roman" w:cs="Times New Roman"/>
                <w:sz w:val="28"/>
                <w:szCs w:val="28"/>
              </w:rPr>
              <w:t>/</w:t>
            </w:r>
          </w:p>
        </w:tc>
        <w:tc>
          <w:tcPr>
            <w:tcW w:w="757" w:type="pct"/>
            <w:gridSpan w:val="4"/>
            <w:vAlign w:val="center"/>
          </w:tcPr>
          <w:p>
            <w:pPr>
              <w:pStyle w:val="40"/>
              <w:rPr>
                <w:rFonts w:ascii="Times New Roman" w:hAnsi="Times New Roman" w:cs="Times New Roman"/>
                <w:sz w:val="28"/>
                <w:szCs w:val="28"/>
              </w:rPr>
            </w:pPr>
            <w:r>
              <w:rPr>
                <w:rFonts w:ascii="Times New Roman" w:hAnsi="Times New Roman" w:cs="Times New Roman"/>
                <w:sz w:val="28"/>
                <w:szCs w:val="28"/>
              </w:rPr>
              <w:t>批准文号</w:t>
            </w:r>
          </w:p>
        </w:tc>
        <w:tc>
          <w:tcPr>
            <w:tcW w:w="1635" w:type="pct"/>
            <w:gridSpan w:val="4"/>
            <w:vAlign w:val="center"/>
          </w:tcPr>
          <w:p>
            <w:pPr>
              <w:pStyle w:val="40"/>
              <w:rPr>
                <w:rFonts w:ascii="Times New Roman" w:hAnsi="Times New Roman" w:cs="Times New Roman"/>
                <w:sz w:val="28"/>
                <w:szCs w:val="28"/>
              </w:rPr>
            </w:pPr>
            <w:r>
              <w:rPr>
                <w:rFonts w:ascii="Times New Roman" w:hAnsi="Times New Roman"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0"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建设性质</w:t>
            </w:r>
          </w:p>
        </w:tc>
        <w:tc>
          <w:tcPr>
            <w:tcW w:w="1068" w:type="pct"/>
            <w:gridSpan w:val="2"/>
            <w:vAlign w:val="center"/>
          </w:tcPr>
          <w:p>
            <w:pPr>
              <w:pStyle w:val="40"/>
              <w:rPr>
                <w:rFonts w:ascii="Times New Roman" w:hAnsi="Times New Roman" w:cs="Times New Roman"/>
                <w:sz w:val="28"/>
                <w:szCs w:val="28"/>
              </w:rPr>
            </w:pPr>
            <w:r>
              <w:rPr>
                <w:rFonts w:ascii="Times New Roman" w:hAnsi="Times New Roman" w:cs="Times New Roman"/>
                <w:sz w:val="28"/>
                <w:szCs w:val="28"/>
              </w:rPr>
              <w:t>新建√ 改扩建□技改□</w:t>
            </w:r>
          </w:p>
        </w:tc>
        <w:tc>
          <w:tcPr>
            <w:tcW w:w="843" w:type="pct"/>
            <w:gridSpan w:val="5"/>
            <w:vAlign w:val="center"/>
          </w:tcPr>
          <w:p>
            <w:pPr>
              <w:pStyle w:val="40"/>
              <w:rPr>
                <w:rFonts w:ascii="Times New Roman" w:hAnsi="Times New Roman" w:cs="Times New Roman"/>
                <w:sz w:val="28"/>
                <w:szCs w:val="28"/>
              </w:rPr>
            </w:pPr>
            <w:r>
              <w:rPr>
                <w:rFonts w:ascii="Times New Roman" w:hAnsi="Times New Roman" w:cs="Times New Roman"/>
                <w:sz w:val="28"/>
                <w:szCs w:val="28"/>
              </w:rPr>
              <w:t>行业类别及代码</w:t>
            </w:r>
          </w:p>
        </w:tc>
        <w:tc>
          <w:tcPr>
            <w:tcW w:w="1900" w:type="pct"/>
            <w:gridSpan w:val="6"/>
            <w:vAlign w:val="center"/>
          </w:tcPr>
          <w:p>
            <w:pPr>
              <w:pStyle w:val="40"/>
              <w:rPr>
                <w:rFonts w:ascii="Times New Roman" w:hAnsi="Times New Roman" w:cs="Times New Roman"/>
                <w:sz w:val="28"/>
                <w:szCs w:val="28"/>
              </w:rPr>
            </w:pPr>
            <w:r>
              <w:rPr>
                <w:rFonts w:ascii="Times New Roman" w:hAnsi="Times New Roman" w:cs="Times New Roman"/>
                <w:sz w:val="28"/>
                <w:szCs w:val="28"/>
              </w:rPr>
              <w:t>F526</w:t>
            </w:r>
            <w:r>
              <w:rPr>
                <w:rFonts w:hint="eastAsia" w:ascii="Times New Roman" w:hAnsi="Times New Roman" w:cs="Times New Roman"/>
                <w:sz w:val="28"/>
                <w:szCs w:val="28"/>
              </w:rPr>
              <w:t>汽车、摩托车、零配件和燃料及其他动力销售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0"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占地面积</w:t>
            </w:r>
          </w:p>
          <w:p>
            <w:pPr>
              <w:pStyle w:val="40"/>
              <w:rPr>
                <w:rFonts w:ascii="Times New Roman" w:hAnsi="Times New Roman" w:cs="Times New Roman"/>
                <w:sz w:val="28"/>
                <w:szCs w:val="28"/>
              </w:rPr>
            </w:pPr>
            <w:r>
              <w:rPr>
                <w:rFonts w:ascii="Times New Roman" w:hAnsi="Times New Roman" w:cs="Times New Roman"/>
                <w:sz w:val="28"/>
                <w:szCs w:val="28"/>
              </w:rPr>
              <w:t>（平方米）</w:t>
            </w:r>
          </w:p>
        </w:tc>
        <w:tc>
          <w:tcPr>
            <w:tcW w:w="1808" w:type="pct"/>
            <w:gridSpan w:val="6"/>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3566.32</w:t>
            </w:r>
          </w:p>
        </w:tc>
        <w:tc>
          <w:tcPr>
            <w:tcW w:w="1037" w:type="pct"/>
            <w:gridSpan w:val="5"/>
            <w:vAlign w:val="center"/>
          </w:tcPr>
          <w:p>
            <w:pPr>
              <w:pStyle w:val="40"/>
              <w:rPr>
                <w:rFonts w:ascii="Times New Roman" w:hAnsi="Times New Roman" w:cs="Times New Roman"/>
                <w:sz w:val="28"/>
                <w:szCs w:val="28"/>
              </w:rPr>
            </w:pPr>
            <w:r>
              <w:rPr>
                <w:rFonts w:ascii="Times New Roman" w:hAnsi="Times New Roman" w:cs="Times New Roman"/>
                <w:sz w:val="28"/>
                <w:szCs w:val="28"/>
              </w:rPr>
              <w:t>绿化面积</w:t>
            </w:r>
          </w:p>
          <w:p>
            <w:pPr>
              <w:pStyle w:val="40"/>
              <w:rPr>
                <w:rFonts w:ascii="Times New Roman" w:hAnsi="Times New Roman" w:cs="Times New Roman"/>
                <w:sz w:val="28"/>
                <w:szCs w:val="28"/>
              </w:rPr>
            </w:pPr>
            <w:r>
              <w:rPr>
                <w:rFonts w:ascii="Times New Roman" w:hAnsi="Times New Roman" w:cs="Times New Roman"/>
                <w:sz w:val="28"/>
                <w:szCs w:val="28"/>
              </w:rPr>
              <w:t>（平方米）</w:t>
            </w:r>
          </w:p>
        </w:tc>
        <w:tc>
          <w:tcPr>
            <w:tcW w:w="966" w:type="pct"/>
            <w:gridSpan w:val="2"/>
            <w:vAlign w:val="center"/>
          </w:tcPr>
          <w:p>
            <w:pPr>
              <w:pStyle w:val="40"/>
              <w:rPr>
                <w:rFonts w:ascii="Times New Roman" w:hAnsi="Times New Roman" w:cs="Times New Roman"/>
                <w:sz w:val="28"/>
                <w:szCs w:val="28"/>
              </w:rPr>
            </w:pPr>
            <w:r>
              <w:rPr>
                <w:rFonts w:ascii="Times New Roman" w:hAnsi="Times New Roman"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65"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总 投 资</w:t>
            </w:r>
          </w:p>
          <w:p>
            <w:pPr>
              <w:pStyle w:val="40"/>
              <w:rPr>
                <w:rFonts w:ascii="Times New Roman" w:hAnsi="Times New Roman" w:cs="Times New Roman"/>
                <w:sz w:val="28"/>
                <w:szCs w:val="28"/>
              </w:rPr>
            </w:pPr>
            <w:r>
              <w:rPr>
                <w:rFonts w:ascii="Times New Roman" w:hAnsi="Times New Roman" w:cs="Times New Roman"/>
                <w:sz w:val="28"/>
                <w:szCs w:val="28"/>
              </w:rPr>
              <w:t>（万元）</w:t>
            </w:r>
          </w:p>
        </w:tc>
        <w:tc>
          <w:tcPr>
            <w:tcW w:w="559" w:type="pct"/>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400</w:t>
            </w:r>
          </w:p>
        </w:tc>
        <w:tc>
          <w:tcPr>
            <w:tcW w:w="761" w:type="pct"/>
            <w:gridSpan w:val="3"/>
            <w:vAlign w:val="center"/>
          </w:tcPr>
          <w:p>
            <w:pPr>
              <w:pStyle w:val="40"/>
              <w:rPr>
                <w:rFonts w:ascii="Times New Roman" w:hAnsi="Times New Roman" w:cs="Times New Roman"/>
                <w:sz w:val="28"/>
                <w:szCs w:val="28"/>
              </w:rPr>
            </w:pPr>
            <w:r>
              <w:rPr>
                <w:rFonts w:ascii="Times New Roman" w:hAnsi="Times New Roman" w:cs="Times New Roman"/>
                <w:sz w:val="28"/>
                <w:szCs w:val="28"/>
              </w:rPr>
              <w:t>其中：环保投资（万元）</w:t>
            </w:r>
          </w:p>
        </w:tc>
        <w:tc>
          <w:tcPr>
            <w:tcW w:w="488" w:type="pct"/>
            <w:gridSpan w:val="2"/>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30</w:t>
            </w:r>
          </w:p>
        </w:tc>
        <w:tc>
          <w:tcPr>
            <w:tcW w:w="1200" w:type="pct"/>
            <w:gridSpan w:val="6"/>
            <w:vAlign w:val="center"/>
          </w:tcPr>
          <w:p>
            <w:pPr>
              <w:pStyle w:val="40"/>
              <w:rPr>
                <w:rFonts w:ascii="Times New Roman" w:hAnsi="Times New Roman" w:cs="Times New Roman"/>
                <w:sz w:val="28"/>
                <w:szCs w:val="28"/>
              </w:rPr>
            </w:pPr>
            <w:r>
              <w:rPr>
                <w:rFonts w:ascii="Times New Roman" w:hAnsi="Times New Roman" w:cs="Times New Roman"/>
                <w:sz w:val="28"/>
                <w:szCs w:val="28"/>
              </w:rPr>
              <w:t>环保投资占总投资比例%</w:t>
            </w:r>
          </w:p>
        </w:tc>
        <w:tc>
          <w:tcPr>
            <w:tcW w:w="803" w:type="pct"/>
            <w:vAlign w:val="center"/>
          </w:tcPr>
          <w:p>
            <w:pPr>
              <w:pStyle w:val="40"/>
              <w:rPr>
                <w:rFonts w:ascii="Times New Roman" w:hAnsi="Times New Roman" w:cs="Times New Roman"/>
                <w:sz w:val="28"/>
                <w:szCs w:val="28"/>
              </w:rPr>
            </w:pPr>
            <w:r>
              <w:rPr>
                <w:rFonts w:hint="eastAsia" w:ascii="Times New Roman" w:hAnsi="Times New Roman" w:cs="Times New Roman"/>
                <w:sz w:val="28"/>
                <w:szCs w:val="28"/>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574" w:hRule="atLeast"/>
        </w:trPr>
        <w:tc>
          <w:tcPr>
            <w:tcW w:w="1189" w:type="pct"/>
            <w:vAlign w:val="center"/>
          </w:tcPr>
          <w:p>
            <w:pPr>
              <w:pStyle w:val="40"/>
              <w:rPr>
                <w:rFonts w:ascii="Times New Roman" w:hAnsi="Times New Roman" w:cs="Times New Roman"/>
                <w:sz w:val="28"/>
                <w:szCs w:val="28"/>
              </w:rPr>
            </w:pPr>
            <w:r>
              <w:rPr>
                <w:rFonts w:ascii="Times New Roman" w:hAnsi="Times New Roman" w:cs="Times New Roman"/>
                <w:sz w:val="28"/>
                <w:szCs w:val="28"/>
              </w:rPr>
              <w:t>评价经费</w:t>
            </w:r>
          </w:p>
          <w:p>
            <w:pPr>
              <w:pStyle w:val="40"/>
              <w:rPr>
                <w:rFonts w:ascii="Times New Roman" w:hAnsi="Times New Roman" w:cs="Times New Roman"/>
                <w:sz w:val="28"/>
                <w:szCs w:val="28"/>
              </w:rPr>
            </w:pPr>
            <w:r>
              <w:rPr>
                <w:rFonts w:ascii="Times New Roman" w:hAnsi="Times New Roman" w:cs="Times New Roman"/>
                <w:sz w:val="28"/>
                <w:szCs w:val="28"/>
              </w:rPr>
              <w:t>（万元）</w:t>
            </w:r>
          </w:p>
        </w:tc>
        <w:tc>
          <w:tcPr>
            <w:tcW w:w="559" w:type="pct"/>
            <w:vAlign w:val="center"/>
          </w:tcPr>
          <w:p>
            <w:pPr>
              <w:pStyle w:val="40"/>
              <w:rPr>
                <w:rFonts w:ascii="Times New Roman" w:hAnsi="Times New Roman" w:cs="Times New Roman"/>
                <w:sz w:val="28"/>
                <w:szCs w:val="28"/>
              </w:rPr>
            </w:pPr>
          </w:p>
        </w:tc>
        <w:tc>
          <w:tcPr>
            <w:tcW w:w="860" w:type="pct"/>
            <w:gridSpan w:val="4"/>
            <w:vAlign w:val="center"/>
          </w:tcPr>
          <w:p>
            <w:pPr>
              <w:pStyle w:val="40"/>
              <w:rPr>
                <w:rFonts w:ascii="Times New Roman" w:hAnsi="Times New Roman" w:cs="Times New Roman"/>
                <w:sz w:val="28"/>
                <w:szCs w:val="28"/>
              </w:rPr>
            </w:pPr>
            <w:r>
              <w:rPr>
                <w:rFonts w:ascii="Times New Roman" w:hAnsi="Times New Roman" w:cs="Times New Roman"/>
                <w:sz w:val="28"/>
                <w:szCs w:val="28"/>
              </w:rPr>
              <w:t>预计投产日期</w:t>
            </w:r>
          </w:p>
        </w:tc>
        <w:tc>
          <w:tcPr>
            <w:tcW w:w="2392" w:type="pct"/>
            <w:gridSpan w:val="8"/>
            <w:vAlign w:val="center"/>
          </w:tcPr>
          <w:p>
            <w:pPr>
              <w:pStyle w:val="40"/>
              <w:rPr>
                <w:rFonts w:ascii="Times New Roman" w:hAnsi="Times New Roman" w:cs="Times New Roman"/>
                <w:sz w:val="28"/>
                <w:szCs w:val="28"/>
              </w:rPr>
            </w:pPr>
            <w:r>
              <w:rPr>
                <w:rFonts w:ascii="Times New Roman" w:hAnsi="Times New Roman" w:cs="Times New Roman"/>
                <w:sz w:val="28"/>
                <w:szCs w:val="28"/>
              </w:rPr>
              <w:t>20</w:t>
            </w:r>
            <w:r>
              <w:rPr>
                <w:rFonts w:hint="eastAsia" w:ascii="Times New Roman" w:hAnsi="Times New Roman" w:cs="Times New Roman"/>
                <w:sz w:val="28"/>
                <w:szCs w:val="28"/>
              </w:rPr>
              <w:t>21</w:t>
            </w:r>
            <w:r>
              <w:rPr>
                <w:rFonts w:ascii="Times New Roman" w:hAnsi="Times New Roman" w:cs="Times New Roman"/>
                <w:sz w:val="28"/>
                <w:szCs w:val="28"/>
              </w:rPr>
              <w:t>年</w:t>
            </w:r>
            <w:r>
              <w:rPr>
                <w:rFonts w:hint="eastAsia" w:ascii="Times New Roman" w:hAnsi="Times New Roman" w:cs="Times New Roman"/>
                <w:sz w:val="28"/>
                <w:szCs w:val="28"/>
              </w:rPr>
              <w:t>11</w:t>
            </w:r>
            <w:r>
              <w:rPr>
                <w:rFonts w:ascii="Times New Roman" w:hAnsi="Times New Roman" w:cs="Times New Roman"/>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4" w:hRule="atLeast"/>
        </w:trPr>
        <w:tc>
          <w:tcPr>
            <w:tcW w:w="5000" w:type="pct"/>
            <w:gridSpan w:val="14"/>
            <w:vAlign w:val="center"/>
          </w:tcPr>
          <w:p>
            <w:pPr>
              <w:spacing w:line="360" w:lineRule="auto"/>
              <w:rPr>
                <w:rFonts w:ascii="Times New Roman" w:hAnsi="Times New Roman" w:eastAsiaTheme="minorEastAsia"/>
                <w:b/>
                <w:sz w:val="28"/>
                <w:szCs w:val="28"/>
              </w:rPr>
            </w:pPr>
            <w:r>
              <w:rPr>
                <w:rFonts w:ascii="Times New Roman" w:hAnsi="Times New Roman" w:eastAsiaTheme="minorEastAsia"/>
                <w:b/>
                <w:sz w:val="28"/>
                <w:szCs w:val="28"/>
              </w:rPr>
              <w:t>工程内容及规模：</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一、 项目的由来</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加油站是公路不可或缺的，加油站为过往车辆提供了燃料补给，所以在公路适当路段的建设加油站是必须的，</w:t>
            </w:r>
            <w:r>
              <w:rPr>
                <w:rFonts w:hint="eastAsia" w:ascii="Times New Roman" w:hAnsi="Times New Roman" w:eastAsiaTheme="minorEastAsia"/>
                <w:sz w:val="28"/>
                <w:szCs w:val="28"/>
              </w:rPr>
              <w:t>同江市同街公路10公里+300米处路南侧</w:t>
            </w:r>
            <w:r>
              <w:rPr>
                <w:rFonts w:ascii="Times New Roman" w:hAnsi="Times New Roman" w:eastAsiaTheme="minorEastAsia"/>
                <w:sz w:val="28"/>
                <w:szCs w:val="28"/>
              </w:rPr>
              <w:t>需要建设配套为公路服务的加油站，为此同江市桥头加油站建设了“同江市桥头加油站项目”。</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根据《建设项目环境保护管理条例》和《建设项目环境影响评价分类管理名录》（2018修正）的相关规定，本项目需进行环境影响评价。本项目新建</w:t>
            </w:r>
            <w:r>
              <w:rPr>
                <w:rFonts w:hint="eastAsia" w:ascii="Times New Roman" w:hAnsi="Times New Roman" w:eastAsiaTheme="minorEastAsia"/>
                <w:sz w:val="28"/>
                <w:szCs w:val="28"/>
              </w:rPr>
              <w:t>加油站1座</w:t>
            </w:r>
            <w:r>
              <w:rPr>
                <w:rFonts w:ascii="Times New Roman" w:hAnsi="Times New Roman" w:eastAsiaTheme="minorEastAsia"/>
                <w:sz w:val="28"/>
                <w:szCs w:val="28"/>
              </w:rPr>
              <w:t>，根据《建设项目环境影响评价分类管理名录》</w:t>
            </w:r>
            <w:r>
              <w:rPr>
                <w:rFonts w:hint="eastAsia" w:ascii="Times New Roman" w:hAnsi="Times New Roman" w:eastAsiaTheme="minorEastAsia"/>
                <w:sz w:val="28"/>
                <w:szCs w:val="28"/>
              </w:rPr>
              <w:t>（2018年</w:t>
            </w:r>
            <w:r>
              <w:rPr>
                <w:rFonts w:ascii="Times New Roman" w:hAnsi="Times New Roman" w:eastAsiaTheme="minorEastAsia"/>
                <w:sz w:val="28"/>
                <w:szCs w:val="28"/>
              </w:rPr>
              <w:t>修正）中可知“四十、社会事业与服务业”中“124 加油、加气站”，</w:t>
            </w:r>
            <w:r>
              <w:rPr>
                <w:rFonts w:hint="eastAsia" w:ascii="Times New Roman" w:hAnsi="Times New Roman" w:eastAsiaTheme="minorEastAsia"/>
                <w:sz w:val="28"/>
                <w:szCs w:val="28"/>
              </w:rPr>
              <w:t>“新建、扩建”</w:t>
            </w:r>
            <w:r>
              <w:rPr>
                <w:rFonts w:ascii="Times New Roman" w:hAnsi="Times New Roman" w:eastAsiaTheme="minorEastAsia"/>
                <w:sz w:val="28"/>
                <w:szCs w:val="28"/>
              </w:rPr>
              <w:t>应编制“环境影响报告表”</w:t>
            </w:r>
            <w:r>
              <w:rPr>
                <w:rFonts w:hint="eastAsia" w:ascii="Times New Roman" w:hAnsi="Times New Roman" w:eastAsiaTheme="minorEastAsia"/>
                <w:sz w:val="28"/>
                <w:szCs w:val="28"/>
              </w:rPr>
              <w:t>，所以本项目编制环境影响报告表</w:t>
            </w:r>
            <w:r>
              <w:rPr>
                <w:rFonts w:ascii="Times New Roman" w:hAnsi="Times New Roman" w:eastAsiaTheme="minorEastAsia"/>
                <w:sz w:val="28"/>
                <w:szCs w:val="28"/>
              </w:rPr>
              <w:t>。</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受建设单位委托，我公司承担了本项目的环境影响评价工作。我公司在现场踏勘、监测和资料收集等的基础上，根据环评技术导则及其它有关文件，在征求环保主管部门意见后，编制了本项目的环境影响报告表，并交由项目建设单位报请环保主管部门审批，以期为项目实施和管理提供参考依据。</w:t>
            </w:r>
          </w:p>
          <w:p>
            <w:pPr>
              <w:spacing w:line="360" w:lineRule="auto"/>
              <w:ind w:firstLine="560" w:firstLineChars="200"/>
              <w:rPr>
                <w:sz w:val="28"/>
                <w:szCs w:val="28"/>
              </w:rPr>
            </w:pPr>
            <w:r>
              <w:rPr>
                <w:rFonts w:hint="eastAsia"/>
                <w:sz w:val="28"/>
                <w:szCs w:val="28"/>
              </w:rPr>
              <w:t>本项目大气评价等级为二级；地表水评价等级为三级B，本次环评地表水仅做一般性环境影响评价分析；本项目属于HJ610-2016 “Ⅱ类”项目，地下水环境敏感程度为“不敏感”，综上判断，确定本项目地下水评价等级为三级；噪声评价为2级；根据《环境影响评价技术导则土壤环境（试行）》（HJ 964—2018）附录A可知，本项目属于表A.1的“公路的加油站”属于“Ⅲ类项目”，本项目不属于考虑大气沉降影响的行业，且项目不涉及地面漫流等，建设项目敏感程度为不敏感</w:t>
            </w:r>
            <w:r>
              <w:rPr>
                <w:sz w:val="28"/>
                <w:szCs w:val="28"/>
              </w:rPr>
              <w:t>本项目属于“</w:t>
            </w:r>
            <w:r>
              <w:rPr>
                <w:rFonts w:hint="eastAsia" w:ascii="宋体" w:hAnsi="宋体" w:cs="宋体"/>
                <w:sz w:val="28"/>
                <w:szCs w:val="28"/>
              </w:rPr>
              <w:t>Ⅲ</w:t>
            </w:r>
            <w:r>
              <w:rPr>
                <w:sz w:val="28"/>
                <w:szCs w:val="28"/>
              </w:rPr>
              <w:t>类项目”，占地规模属于“小型”，环境敏感程度为“</w:t>
            </w:r>
            <w:r>
              <w:rPr>
                <w:rFonts w:hint="eastAsia"/>
                <w:sz w:val="28"/>
                <w:szCs w:val="28"/>
              </w:rPr>
              <w:t>不</w:t>
            </w:r>
            <w:r>
              <w:rPr>
                <w:sz w:val="28"/>
                <w:szCs w:val="28"/>
              </w:rPr>
              <w:t>敏感”，</w:t>
            </w:r>
            <w:r>
              <w:rPr>
                <w:rFonts w:hint="eastAsia"/>
                <w:sz w:val="28"/>
                <w:szCs w:val="28"/>
              </w:rPr>
              <w:t>根据上表识别，</w:t>
            </w:r>
            <w:r>
              <w:rPr>
                <w:sz w:val="28"/>
                <w:szCs w:val="28"/>
              </w:rPr>
              <w:t>本项目</w:t>
            </w:r>
            <w:r>
              <w:rPr>
                <w:rFonts w:hint="eastAsia"/>
                <w:sz w:val="28"/>
                <w:szCs w:val="28"/>
              </w:rPr>
              <w:t>可不进行土壤环境影响评价。</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二、建设项目基本情况</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1 项目概况</w:t>
            </w:r>
          </w:p>
          <w:p>
            <w:pPr>
              <w:spacing w:line="360" w:lineRule="auto"/>
              <w:ind w:left="1820" w:leftChars="267" w:hanging="1260" w:hangingChars="450"/>
              <w:rPr>
                <w:rFonts w:ascii="Times New Roman" w:hAnsi="Times New Roman" w:eastAsiaTheme="minorEastAsia"/>
                <w:sz w:val="28"/>
                <w:szCs w:val="28"/>
              </w:rPr>
            </w:pPr>
            <w:r>
              <w:rPr>
                <w:rFonts w:ascii="Times New Roman" w:hAnsi="Times New Roman" w:eastAsiaTheme="minorEastAsia"/>
                <w:sz w:val="28"/>
                <w:szCs w:val="28"/>
              </w:rPr>
              <w:t>项目名称：同江市桥头加油站项目</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建设单位：同江市桥头加油站</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总投资：</w:t>
            </w:r>
            <w:r>
              <w:rPr>
                <w:rFonts w:hint="eastAsia" w:ascii="Times New Roman" w:hAnsi="Times New Roman" w:eastAsiaTheme="minorEastAsia"/>
                <w:sz w:val="28"/>
                <w:szCs w:val="28"/>
              </w:rPr>
              <w:t>400</w:t>
            </w:r>
            <w:r>
              <w:rPr>
                <w:rFonts w:ascii="Times New Roman" w:hAnsi="Times New Roman" w:eastAsiaTheme="minorEastAsia"/>
                <w:sz w:val="28"/>
                <w:szCs w:val="28"/>
              </w:rPr>
              <w:t xml:space="preserve"> 万元</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预计投产日期：20</w:t>
            </w:r>
            <w:r>
              <w:rPr>
                <w:rFonts w:hint="eastAsia" w:ascii="Times New Roman" w:hAnsi="Times New Roman" w:eastAsiaTheme="minorEastAsia"/>
                <w:sz w:val="28"/>
                <w:szCs w:val="28"/>
              </w:rPr>
              <w:t>21</w:t>
            </w:r>
            <w:r>
              <w:rPr>
                <w:rFonts w:ascii="Times New Roman" w:hAnsi="Times New Roman" w:eastAsiaTheme="minorEastAsia"/>
                <w:sz w:val="28"/>
                <w:szCs w:val="28"/>
              </w:rPr>
              <w:t>年</w:t>
            </w:r>
            <w:r>
              <w:rPr>
                <w:rFonts w:hint="eastAsia" w:ascii="Times New Roman" w:hAnsi="Times New Roman" w:eastAsiaTheme="minorEastAsia"/>
                <w:sz w:val="28"/>
                <w:szCs w:val="28"/>
              </w:rPr>
              <w:t>11</w:t>
            </w:r>
            <w:r>
              <w:rPr>
                <w:rFonts w:ascii="Times New Roman" w:hAnsi="Times New Roman" w:eastAsiaTheme="minorEastAsia"/>
                <w:sz w:val="28"/>
                <w:szCs w:val="28"/>
              </w:rPr>
              <w:t>月</w:t>
            </w:r>
          </w:p>
          <w:p>
            <w:pPr>
              <w:spacing w:line="360" w:lineRule="auto"/>
              <w:ind w:left="1960" w:leftChars="267" w:hanging="1400" w:hangingChars="500"/>
              <w:rPr>
                <w:rFonts w:ascii="Times New Roman" w:hAnsi="Times New Roman" w:eastAsiaTheme="minorEastAsia"/>
                <w:sz w:val="28"/>
                <w:szCs w:val="28"/>
              </w:rPr>
            </w:pPr>
            <w:r>
              <w:rPr>
                <w:rFonts w:ascii="Times New Roman" w:hAnsi="Times New Roman" w:eastAsiaTheme="minorEastAsia"/>
                <w:sz w:val="28"/>
                <w:szCs w:val="28"/>
              </w:rPr>
              <w:t>建设地点：位于</w:t>
            </w:r>
            <w:r>
              <w:rPr>
                <w:rFonts w:hint="eastAsia" w:ascii="Times New Roman" w:hAnsi="Times New Roman" w:eastAsiaTheme="minorEastAsia"/>
                <w:sz w:val="28"/>
                <w:szCs w:val="28"/>
              </w:rPr>
              <w:t>同江市同街公路10公里+300米处路南侧</w:t>
            </w:r>
            <w:r>
              <w:rPr>
                <w:rFonts w:ascii="Times New Roman" w:hAnsi="Times New Roman" w:eastAsiaTheme="minorEastAsia"/>
                <w:sz w:val="28"/>
                <w:szCs w:val="28"/>
              </w:rPr>
              <w:t>，加油站</w:t>
            </w:r>
            <w:r>
              <w:rPr>
                <w:rFonts w:hint="eastAsia" w:ascii="Times New Roman" w:hAnsi="Times New Roman" w:eastAsiaTheme="minorEastAsia"/>
                <w:sz w:val="28"/>
                <w:szCs w:val="28"/>
              </w:rPr>
              <w:t>东</w:t>
            </w:r>
            <w:r>
              <w:rPr>
                <w:rFonts w:ascii="Times New Roman" w:hAnsi="Times New Roman" w:eastAsiaTheme="minorEastAsia"/>
                <w:sz w:val="28"/>
                <w:szCs w:val="28"/>
              </w:rPr>
              <w:t>侧</w:t>
            </w:r>
            <w:r>
              <w:rPr>
                <w:rFonts w:hint="eastAsia" w:ascii="Times New Roman" w:hAnsi="Times New Roman" w:eastAsiaTheme="minorEastAsia"/>
                <w:sz w:val="28"/>
                <w:szCs w:val="28"/>
              </w:rPr>
              <w:t>、南侧</w:t>
            </w:r>
            <w:r>
              <w:rPr>
                <w:rFonts w:ascii="Times New Roman" w:hAnsi="Times New Roman" w:eastAsiaTheme="minorEastAsia"/>
                <w:sz w:val="28"/>
                <w:szCs w:val="28"/>
              </w:rPr>
              <w:t>和西侧均为</w:t>
            </w:r>
            <w:r>
              <w:rPr>
                <w:rFonts w:hint="eastAsia" w:ascii="Times New Roman" w:hAnsi="Times New Roman" w:eastAsiaTheme="minorEastAsia"/>
                <w:sz w:val="28"/>
                <w:szCs w:val="28"/>
              </w:rPr>
              <w:t>耕地</w:t>
            </w:r>
            <w:r>
              <w:rPr>
                <w:rFonts w:ascii="Times New Roman" w:hAnsi="Times New Roman" w:eastAsiaTheme="minorEastAsia"/>
                <w:sz w:val="28"/>
                <w:szCs w:val="28"/>
              </w:rPr>
              <w:t>；加油站</w:t>
            </w:r>
            <w:r>
              <w:rPr>
                <w:rFonts w:hint="eastAsia" w:ascii="Times New Roman" w:hAnsi="Times New Roman" w:eastAsiaTheme="minorEastAsia"/>
                <w:sz w:val="28"/>
                <w:szCs w:val="28"/>
              </w:rPr>
              <w:t>北</w:t>
            </w:r>
            <w:r>
              <w:rPr>
                <w:rFonts w:ascii="Times New Roman" w:hAnsi="Times New Roman" w:eastAsiaTheme="minorEastAsia"/>
                <w:sz w:val="28"/>
                <w:szCs w:val="28"/>
              </w:rPr>
              <w:t>侧为</w:t>
            </w:r>
            <w:r>
              <w:rPr>
                <w:rFonts w:hint="eastAsia" w:ascii="Times New Roman" w:hAnsi="Times New Roman" w:eastAsiaTheme="minorEastAsia"/>
                <w:sz w:val="28"/>
                <w:szCs w:val="28"/>
              </w:rPr>
              <w:t>同街公路</w:t>
            </w:r>
            <w:r>
              <w:rPr>
                <w:rFonts w:ascii="Times New Roman" w:hAnsi="Times New Roman" w:eastAsiaTheme="minorEastAsia"/>
                <w:sz w:val="28"/>
                <w:szCs w:val="28"/>
              </w:rPr>
              <w:t>。</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本</w:t>
            </w:r>
            <w:r>
              <w:rPr>
                <w:rFonts w:ascii="Times New Roman" w:hAnsi="Times New Roman" w:eastAsiaTheme="minorEastAsia"/>
                <w:sz w:val="28"/>
                <w:szCs w:val="28"/>
              </w:rPr>
              <w:t>项目具体地理位置见附图一，周围情况图见附图二，平面布置图见附图三。</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2 项目组成</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本项目将分两期进行建设主体工程为一期工程建设内容；二期工程建设综合业务用房，用于开办超市、食堂和宿舍，车库自用停车，二期工程内容包含在本次评价内容内，产生的污染物主要为食堂油烟、废油脂。</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本项目组成见表1。</w:t>
            </w:r>
          </w:p>
          <w:p>
            <w:pPr>
              <w:spacing w:line="360" w:lineRule="auto"/>
              <w:jc w:val="center"/>
              <w:rPr>
                <w:rFonts w:ascii="Times New Roman" w:hAnsi="Times New Roman"/>
                <w:b/>
                <w:sz w:val="24"/>
                <w:szCs w:val="24"/>
              </w:rPr>
            </w:pPr>
            <w:r>
              <w:rPr>
                <w:rFonts w:ascii="Times New Roman" w:hAnsi="Times New Roman"/>
                <w:b/>
                <w:sz w:val="24"/>
                <w:szCs w:val="24"/>
              </w:rPr>
              <w:t xml:space="preserve">表1 </w:t>
            </w:r>
            <w:r>
              <w:rPr>
                <w:rFonts w:hint="eastAsia" w:ascii="Times New Roman" w:hAnsi="Times New Roman"/>
                <w:b/>
                <w:sz w:val="24"/>
                <w:szCs w:val="24"/>
              </w:rPr>
              <w:t xml:space="preserve">  </w:t>
            </w:r>
            <w:r>
              <w:rPr>
                <w:rFonts w:ascii="Times New Roman" w:hAnsi="Times New Roman"/>
                <w:b/>
                <w:sz w:val="24"/>
                <w:szCs w:val="24"/>
              </w:rPr>
              <w:t xml:space="preserve"> 项目工程组成一览表</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0"/>
              <w:gridCol w:w="1467"/>
              <w:gridCol w:w="6095"/>
              <w:gridCol w:w="90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tcBorders>
                    <w:bottom w:val="single" w:color="auto" w:sz="4" w:space="0"/>
                  </w:tcBorders>
                  <w:vAlign w:val="center"/>
                </w:tcPr>
                <w:p>
                  <w:pPr>
                    <w:spacing w:line="300" w:lineRule="auto"/>
                    <w:jc w:val="center"/>
                    <w:rPr>
                      <w:rFonts w:ascii="Times New Roman" w:hAnsi="Times New Roman"/>
                      <w:szCs w:val="21"/>
                    </w:rPr>
                  </w:pPr>
                  <w:r>
                    <w:rPr>
                      <w:rFonts w:ascii="Times New Roman" w:hAnsi="Times New Roman"/>
                      <w:szCs w:val="21"/>
                    </w:rPr>
                    <w:t>工程内容</w:t>
                  </w:r>
                </w:p>
              </w:tc>
              <w:tc>
                <w:tcPr>
                  <w:tcW w:w="804" w:type="pct"/>
                  <w:vAlign w:val="center"/>
                </w:tcPr>
                <w:p>
                  <w:pPr>
                    <w:spacing w:line="300" w:lineRule="auto"/>
                    <w:jc w:val="center"/>
                    <w:rPr>
                      <w:rFonts w:ascii="Times New Roman" w:hAnsi="Times New Roman"/>
                      <w:bCs/>
                      <w:szCs w:val="21"/>
                    </w:rPr>
                  </w:pPr>
                  <w:r>
                    <w:rPr>
                      <w:rFonts w:ascii="Times New Roman" w:hAnsi="Times New Roman"/>
                      <w:szCs w:val="21"/>
                    </w:rPr>
                    <w:t>项目名称</w:t>
                  </w:r>
                </w:p>
              </w:tc>
              <w:tc>
                <w:tcPr>
                  <w:tcW w:w="3341" w:type="pct"/>
                  <w:vAlign w:val="center"/>
                </w:tcPr>
                <w:p>
                  <w:pPr>
                    <w:spacing w:line="300" w:lineRule="auto"/>
                    <w:jc w:val="center"/>
                    <w:rPr>
                      <w:rFonts w:ascii="Times New Roman" w:hAnsi="Times New Roman"/>
                      <w:bCs/>
                      <w:szCs w:val="21"/>
                    </w:rPr>
                  </w:pPr>
                  <w:r>
                    <w:rPr>
                      <w:rFonts w:ascii="Times New Roman" w:hAnsi="Times New Roman"/>
                      <w:bCs/>
                      <w:szCs w:val="21"/>
                    </w:rPr>
                    <w:t>建设内容</w:t>
                  </w:r>
                </w:p>
              </w:tc>
              <w:tc>
                <w:tcPr>
                  <w:tcW w:w="493" w:type="pct"/>
                  <w:vAlign w:val="center"/>
                </w:tcPr>
                <w:p>
                  <w:pPr>
                    <w:spacing w:line="300" w:lineRule="auto"/>
                    <w:jc w:val="center"/>
                    <w:rPr>
                      <w:rFonts w:ascii="Times New Roman" w:hAnsi="Times New Roman"/>
                      <w:bCs/>
                      <w:szCs w:val="21"/>
                    </w:rPr>
                  </w:pPr>
                  <w:r>
                    <w:rPr>
                      <w:rFonts w:hint="eastAsia" w:ascii="Times New Roman" w:hAnsi="Times New Roman"/>
                      <w:bCs/>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restart"/>
                  <w:tcBorders>
                    <w:top w:val="single" w:color="auto" w:sz="4" w:space="0"/>
                  </w:tcBorders>
                  <w:vAlign w:val="center"/>
                </w:tcPr>
                <w:p>
                  <w:pPr>
                    <w:spacing w:line="300" w:lineRule="auto"/>
                    <w:jc w:val="center"/>
                    <w:rPr>
                      <w:rFonts w:ascii="Times New Roman" w:hAnsi="Times New Roman"/>
                      <w:szCs w:val="21"/>
                    </w:rPr>
                  </w:pPr>
                  <w:r>
                    <w:rPr>
                      <w:rFonts w:ascii="Times New Roman" w:hAnsi="Times New Roman"/>
                      <w:szCs w:val="21"/>
                    </w:rPr>
                    <w:t>主体工程</w:t>
                  </w:r>
                </w:p>
              </w:tc>
              <w:tc>
                <w:tcPr>
                  <w:tcW w:w="804" w:type="pct"/>
                  <w:vAlign w:val="center"/>
                </w:tcPr>
                <w:p>
                  <w:pPr>
                    <w:spacing w:line="300" w:lineRule="auto"/>
                    <w:jc w:val="center"/>
                    <w:rPr>
                      <w:rFonts w:ascii="Times New Roman" w:hAnsi="Times New Roman"/>
                      <w:bCs/>
                      <w:szCs w:val="21"/>
                    </w:rPr>
                  </w:pPr>
                  <w:r>
                    <w:rPr>
                      <w:rFonts w:ascii="Times New Roman" w:hAnsi="Times New Roman"/>
                      <w:szCs w:val="21"/>
                    </w:rPr>
                    <w:t>加油机</w:t>
                  </w:r>
                  <w:r>
                    <w:rPr>
                      <w:rFonts w:hint="eastAsia" w:ascii="Times New Roman" w:hAnsi="Times New Roman"/>
                      <w:szCs w:val="21"/>
                    </w:rPr>
                    <w:t>、加油岛</w:t>
                  </w:r>
                </w:p>
              </w:tc>
              <w:tc>
                <w:tcPr>
                  <w:tcW w:w="3341" w:type="pct"/>
                  <w:vAlign w:val="center"/>
                </w:tcPr>
                <w:p>
                  <w:pPr>
                    <w:spacing w:line="300" w:lineRule="auto"/>
                    <w:jc w:val="center"/>
                    <w:rPr>
                      <w:rFonts w:ascii="Times New Roman" w:hAnsi="Times New Roman"/>
                      <w:bCs/>
                      <w:szCs w:val="21"/>
                    </w:rPr>
                  </w:pPr>
                  <w:r>
                    <w:rPr>
                      <w:rFonts w:hint="eastAsia" w:ascii="Times New Roman" w:hAnsi="Times New Roman"/>
                      <w:bCs/>
                      <w:szCs w:val="21"/>
                    </w:rPr>
                    <w:t>本项目建设4个加油岛和4台全油品加油机（2台柴油加油机及2台汽油加油机，汽油加油机带有分散式加油油气回收装置）；</w:t>
                  </w:r>
                </w:p>
              </w:tc>
              <w:tc>
                <w:tcPr>
                  <w:tcW w:w="493" w:type="pct"/>
                  <w:vAlign w:val="center"/>
                </w:tcPr>
                <w:p>
                  <w:pPr>
                    <w:spacing w:line="300" w:lineRule="auto"/>
                    <w:jc w:val="center"/>
                    <w:rPr>
                      <w:rFonts w:ascii="Times New Roman" w:hAnsi="Times New Roman"/>
                      <w:bCs/>
                      <w:szCs w:val="21"/>
                    </w:rPr>
                  </w:pPr>
                  <w:r>
                    <w:rPr>
                      <w:rFonts w:hint="eastAsia" w:ascii="Times New Roman" w:hAnsi="Times New Roman"/>
                      <w:bCs/>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tcBorders>
                    <w:bottom w:val="single" w:color="auto" w:sz="4" w:space="0"/>
                  </w:tcBorders>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ascii="Times New Roman" w:hAnsi="Times New Roman"/>
                      <w:szCs w:val="21"/>
                    </w:rPr>
                    <w:t>加油岛罩棚</w:t>
                  </w:r>
                </w:p>
              </w:tc>
              <w:tc>
                <w:tcPr>
                  <w:tcW w:w="3341" w:type="pct"/>
                  <w:vAlign w:val="center"/>
                </w:tcPr>
                <w:p>
                  <w:pPr>
                    <w:spacing w:line="300" w:lineRule="auto"/>
                    <w:jc w:val="center"/>
                    <w:rPr>
                      <w:rFonts w:ascii="Times New Roman" w:hAnsi="Times New Roman"/>
                      <w:bCs/>
                      <w:szCs w:val="21"/>
                    </w:rPr>
                  </w:pPr>
                  <w:r>
                    <w:rPr>
                      <w:rFonts w:hint="eastAsia" w:ascii="Times New Roman" w:hAnsi="Times New Roman"/>
                      <w:bCs/>
                      <w:szCs w:val="21"/>
                    </w:rPr>
                    <w:t>钢柱网架罩棚1座；水平投影面积260m</w:t>
                  </w:r>
                  <w:r>
                    <w:rPr>
                      <w:rFonts w:hint="eastAsia" w:ascii="Times New Roman" w:hAnsi="Times New Roman"/>
                      <w:bCs/>
                      <w:szCs w:val="21"/>
                      <w:vertAlign w:val="superscript"/>
                    </w:rPr>
                    <w:t>2</w:t>
                  </w:r>
                  <w:r>
                    <w:rPr>
                      <w:rFonts w:hint="eastAsia" w:ascii="Times New Roman" w:hAnsi="Times New Roman"/>
                      <w:bCs/>
                      <w:szCs w:val="21"/>
                    </w:rPr>
                    <w:t>；净高 H=6.5m；</w:t>
                  </w:r>
                </w:p>
              </w:tc>
              <w:tc>
                <w:tcPr>
                  <w:tcW w:w="493" w:type="pct"/>
                  <w:vAlign w:val="center"/>
                </w:tcPr>
                <w:p>
                  <w:pPr>
                    <w:spacing w:line="300" w:lineRule="auto"/>
                    <w:jc w:val="center"/>
                    <w:rPr>
                      <w:rFonts w:ascii="Times New Roman" w:hAnsi="Times New Roman"/>
                      <w:bCs/>
                      <w:szCs w:val="21"/>
                    </w:rPr>
                  </w:pPr>
                  <w:r>
                    <w:rPr>
                      <w:rFonts w:hint="eastAsia" w:ascii="Times New Roman" w:hAnsi="Times New Roman"/>
                      <w:bCs/>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restart"/>
                  <w:tcBorders>
                    <w:top w:val="single" w:color="auto" w:sz="4" w:space="0"/>
                  </w:tcBorders>
                  <w:vAlign w:val="center"/>
                </w:tcPr>
                <w:p>
                  <w:pPr>
                    <w:spacing w:line="300" w:lineRule="auto"/>
                    <w:jc w:val="center"/>
                    <w:rPr>
                      <w:rFonts w:ascii="Times New Roman" w:hAnsi="Times New Roman"/>
                      <w:szCs w:val="21"/>
                    </w:rPr>
                  </w:pPr>
                  <w:r>
                    <w:rPr>
                      <w:rFonts w:ascii="Times New Roman" w:hAnsi="Times New Roman"/>
                      <w:szCs w:val="21"/>
                    </w:rPr>
                    <w:t>辅助</w:t>
                  </w:r>
                </w:p>
                <w:p>
                  <w:pPr>
                    <w:spacing w:line="300" w:lineRule="auto"/>
                    <w:jc w:val="center"/>
                    <w:rPr>
                      <w:rFonts w:ascii="Times New Roman" w:hAnsi="Times New Roman"/>
                      <w:szCs w:val="21"/>
                    </w:rPr>
                  </w:pPr>
                  <w:r>
                    <w:rPr>
                      <w:rFonts w:ascii="Times New Roman" w:hAnsi="Times New Roman"/>
                      <w:szCs w:val="21"/>
                    </w:rPr>
                    <w:t>工程</w:t>
                  </w:r>
                </w:p>
              </w:tc>
              <w:tc>
                <w:tcPr>
                  <w:tcW w:w="804" w:type="pct"/>
                  <w:vAlign w:val="center"/>
                </w:tcPr>
                <w:p>
                  <w:pPr>
                    <w:spacing w:line="300" w:lineRule="auto"/>
                    <w:jc w:val="center"/>
                    <w:rPr>
                      <w:rFonts w:ascii="Times New Roman" w:hAnsi="Times New Roman"/>
                      <w:szCs w:val="21"/>
                    </w:rPr>
                  </w:pPr>
                  <w:r>
                    <w:rPr>
                      <w:rFonts w:ascii="Times New Roman" w:hAnsi="Times New Roman"/>
                      <w:szCs w:val="21"/>
                    </w:rPr>
                    <w:t>站房</w:t>
                  </w:r>
                </w:p>
              </w:tc>
              <w:tc>
                <w:tcPr>
                  <w:tcW w:w="3341" w:type="pct"/>
                  <w:vAlign w:val="center"/>
                </w:tcPr>
                <w:p>
                  <w:pPr>
                    <w:spacing w:line="300" w:lineRule="auto"/>
                    <w:jc w:val="center"/>
                    <w:rPr>
                      <w:rFonts w:ascii="Times New Roman" w:hAnsi="Times New Roman"/>
                      <w:bCs/>
                      <w:szCs w:val="21"/>
                    </w:rPr>
                  </w:pPr>
                  <w:r>
                    <w:rPr>
                      <w:rFonts w:hint="eastAsia" w:ascii="Times New Roman" w:hAnsi="Times New Roman"/>
                      <w:bCs/>
                      <w:szCs w:val="21"/>
                    </w:rPr>
                    <w:t>1层站房1座，建筑面积为180m</w:t>
                  </w:r>
                  <w:r>
                    <w:rPr>
                      <w:rFonts w:hint="eastAsia" w:ascii="Times New Roman" w:hAnsi="Times New Roman"/>
                      <w:bCs/>
                      <w:szCs w:val="21"/>
                      <w:vertAlign w:val="superscript"/>
                    </w:rPr>
                    <w:t>2</w:t>
                  </w:r>
                  <w:r>
                    <w:rPr>
                      <w:rFonts w:hint="eastAsia" w:ascii="Times New Roman" w:hAnsi="Times New Roman"/>
                      <w:bCs/>
                      <w:szCs w:val="21"/>
                    </w:rPr>
                    <w:t>；</w:t>
                  </w:r>
                  <w:r>
                    <w:rPr>
                      <w:rFonts w:ascii="Times New Roman" w:hAnsi="Times New Roman"/>
                      <w:bCs/>
                      <w:szCs w:val="21"/>
                    </w:rPr>
                    <w:t xml:space="preserve"> </w:t>
                  </w:r>
                </w:p>
              </w:tc>
              <w:tc>
                <w:tcPr>
                  <w:tcW w:w="493" w:type="pct"/>
                  <w:vAlign w:val="center"/>
                </w:tcPr>
                <w:p>
                  <w:pPr>
                    <w:spacing w:line="300" w:lineRule="auto"/>
                    <w:jc w:val="center"/>
                    <w:rPr>
                      <w:rFonts w:ascii="Times New Roman" w:hAnsi="Times New Roman"/>
                      <w:bCs/>
                      <w:szCs w:val="21"/>
                    </w:rPr>
                  </w:pPr>
                  <w:r>
                    <w:rPr>
                      <w:rFonts w:hint="eastAsia" w:ascii="Times New Roman" w:hAnsi="Times New Roman"/>
                      <w:bCs/>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tcBorders>
                    <w:top w:val="single" w:color="auto" w:sz="4" w:space="0"/>
                  </w:tcBorders>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hint="eastAsia" w:ascii="Times New Roman" w:hAnsi="Times New Roman"/>
                      <w:szCs w:val="21"/>
                    </w:rPr>
                    <w:t>综合业务用房</w:t>
                  </w:r>
                </w:p>
              </w:tc>
              <w:tc>
                <w:tcPr>
                  <w:tcW w:w="3341" w:type="pct"/>
                  <w:vAlign w:val="center"/>
                </w:tcPr>
                <w:p>
                  <w:pPr>
                    <w:spacing w:line="300" w:lineRule="auto"/>
                    <w:jc w:val="center"/>
                    <w:rPr>
                      <w:rFonts w:ascii="Times New Roman" w:hAnsi="Times New Roman"/>
                      <w:bCs/>
                      <w:szCs w:val="21"/>
                    </w:rPr>
                  </w:pPr>
                  <w:r>
                    <w:rPr>
                      <w:rFonts w:hint="eastAsia" w:ascii="Times New Roman" w:hAnsi="Times New Roman"/>
                      <w:bCs/>
                      <w:szCs w:val="21"/>
                    </w:rPr>
                    <w:t>2层，一层为超市食堂，二层为宿舍，建筑面积为594.3m</w:t>
                  </w:r>
                  <w:r>
                    <w:rPr>
                      <w:rFonts w:hint="eastAsia" w:ascii="Times New Roman" w:hAnsi="Times New Roman"/>
                      <w:bCs/>
                      <w:szCs w:val="21"/>
                      <w:vertAlign w:val="superscript"/>
                    </w:rPr>
                    <w:t>2</w:t>
                  </w:r>
                  <w:r>
                    <w:rPr>
                      <w:rFonts w:hint="eastAsia" w:ascii="Times New Roman" w:hAnsi="Times New Roman"/>
                      <w:bCs/>
                      <w:szCs w:val="21"/>
                    </w:rPr>
                    <w:t>；</w:t>
                  </w:r>
                </w:p>
              </w:tc>
              <w:tc>
                <w:tcPr>
                  <w:tcW w:w="493" w:type="pct"/>
                  <w:vAlign w:val="center"/>
                </w:tcPr>
                <w:p>
                  <w:pPr>
                    <w:spacing w:line="300" w:lineRule="auto"/>
                    <w:jc w:val="center"/>
                    <w:rPr>
                      <w:rFonts w:ascii="Times New Roman" w:hAnsi="Times New Roman"/>
                      <w:bCs/>
                      <w:szCs w:val="21"/>
                    </w:rPr>
                  </w:pPr>
                  <w:r>
                    <w:rPr>
                      <w:rFonts w:hint="eastAsia" w:ascii="Times New Roman" w:hAnsi="Times New Roman"/>
                      <w:bCs/>
                      <w:szCs w:val="21"/>
                    </w:rPr>
                    <w:t>新建</w:t>
                  </w:r>
                </w:p>
                <w:p>
                  <w:pPr>
                    <w:spacing w:line="300" w:lineRule="auto"/>
                    <w:jc w:val="center"/>
                    <w:rPr>
                      <w:rFonts w:ascii="Times New Roman" w:hAnsi="Times New Roman"/>
                      <w:bCs/>
                      <w:szCs w:val="21"/>
                    </w:rPr>
                  </w:pPr>
                  <w:r>
                    <w:rPr>
                      <w:rFonts w:hint="eastAsia" w:ascii="Times New Roman" w:hAnsi="Times New Roman"/>
                      <w:bCs/>
                      <w:szCs w:val="21"/>
                    </w:rPr>
                    <w:t>二期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hint="eastAsia" w:ascii="Times New Roman" w:hAnsi="Times New Roman"/>
                      <w:szCs w:val="21"/>
                    </w:rPr>
                    <w:t>车库</w:t>
                  </w:r>
                </w:p>
              </w:tc>
              <w:tc>
                <w:tcPr>
                  <w:tcW w:w="3341" w:type="pct"/>
                  <w:vAlign w:val="center"/>
                </w:tcPr>
                <w:p>
                  <w:pPr>
                    <w:spacing w:line="300" w:lineRule="auto"/>
                    <w:jc w:val="center"/>
                    <w:rPr>
                      <w:rFonts w:ascii="Times New Roman" w:hAnsi="Times New Roman"/>
                      <w:bCs/>
                      <w:szCs w:val="21"/>
                    </w:rPr>
                  </w:pPr>
                  <w:r>
                    <w:rPr>
                      <w:rFonts w:hint="eastAsia" w:ascii="Times New Roman" w:hAnsi="Times New Roman"/>
                      <w:bCs/>
                      <w:szCs w:val="21"/>
                    </w:rPr>
                    <w:t>1层车库1座，停自用车辆，主要为家用车辆，建筑面积为272.52 m</w:t>
                  </w:r>
                  <w:r>
                    <w:rPr>
                      <w:rFonts w:hint="eastAsia" w:ascii="Times New Roman" w:hAnsi="Times New Roman"/>
                      <w:bCs/>
                      <w:szCs w:val="21"/>
                      <w:vertAlign w:val="superscript"/>
                    </w:rPr>
                    <w:t>2</w:t>
                  </w:r>
                  <w:r>
                    <w:rPr>
                      <w:rFonts w:hint="eastAsia" w:ascii="Times New Roman" w:hAnsi="Times New Roman"/>
                      <w:bCs/>
                      <w:szCs w:val="21"/>
                    </w:rPr>
                    <w:t>；</w:t>
                  </w:r>
                </w:p>
              </w:tc>
              <w:tc>
                <w:tcPr>
                  <w:tcW w:w="493" w:type="pct"/>
                  <w:vAlign w:val="center"/>
                </w:tcPr>
                <w:p>
                  <w:pPr>
                    <w:spacing w:line="300" w:lineRule="auto"/>
                    <w:jc w:val="center"/>
                    <w:rPr>
                      <w:rFonts w:ascii="Times New Roman" w:hAnsi="Times New Roman"/>
                      <w:bCs/>
                      <w:szCs w:val="21"/>
                    </w:rPr>
                  </w:pPr>
                  <w:r>
                    <w:rPr>
                      <w:rFonts w:hint="eastAsia" w:ascii="Times New Roman" w:hAnsi="Times New Roman"/>
                      <w:bCs/>
                      <w:szCs w:val="21"/>
                    </w:rPr>
                    <w:t>新建</w:t>
                  </w:r>
                </w:p>
                <w:p>
                  <w:pPr>
                    <w:spacing w:line="300" w:lineRule="auto"/>
                    <w:jc w:val="center"/>
                    <w:rPr>
                      <w:rFonts w:ascii="Times New Roman" w:hAnsi="Times New Roman"/>
                      <w:bCs/>
                      <w:szCs w:val="21"/>
                    </w:rPr>
                  </w:pPr>
                  <w:r>
                    <w:rPr>
                      <w:rFonts w:hint="eastAsia" w:ascii="Times New Roman" w:hAnsi="Times New Roman"/>
                      <w:bCs/>
                      <w:szCs w:val="21"/>
                    </w:rPr>
                    <w:t>二期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Align w:val="center"/>
                </w:tcPr>
                <w:p>
                  <w:pPr>
                    <w:spacing w:line="300" w:lineRule="auto"/>
                    <w:jc w:val="center"/>
                    <w:rPr>
                      <w:rFonts w:ascii="Times New Roman" w:hAnsi="Times New Roman"/>
                      <w:szCs w:val="21"/>
                    </w:rPr>
                  </w:pPr>
                  <w:r>
                    <w:rPr>
                      <w:rFonts w:ascii="Times New Roman" w:hAnsi="Times New Roman"/>
                      <w:szCs w:val="21"/>
                    </w:rPr>
                    <w:t>储运工程</w:t>
                  </w:r>
                </w:p>
              </w:tc>
              <w:tc>
                <w:tcPr>
                  <w:tcW w:w="804" w:type="pct"/>
                  <w:vAlign w:val="center"/>
                </w:tcPr>
                <w:p>
                  <w:pPr>
                    <w:spacing w:line="300" w:lineRule="auto"/>
                    <w:jc w:val="center"/>
                    <w:rPr>
                      <w:rFonts w:ascii="Times New Roman" w:hAnsi="Times New Roman"/>
                      <w:bCs/>
                      <w:szCs w:val="21"/>
                    </w:rPr>
                  </w:pPr>
                  <w:r>
                    <w:rPr>
                      <w:rFonts w:ascii="Times New Roman" w:hAnsi="Times New Roman"/>
                      <w:szCs w:val="21"/>
                    </w:rPr>
                    <w:t>油罐区</w:t>
                  </w:r>
                </w:p>
              </w:tc>
              <w:tc>
                <w:tcPr>
                  <w:tcW w:w="3341" w:type="pct"/>
                  <w:vAlign w:val="center"/>
                </w:tcPr>
                <w:p>
                  <w:pPr>
                    <w:spacing w:line="300" w:lineRule="auto"/>
                    <w:jc w:val="center"/>
                    <w:rPr>
                      <w:rFonts w:ascii="Times New Roman" w:hAnsi="Times New Roman"/>
                      <w:szCs w:val="21"/>
                    </w:rPr>
                  </w:pPr>
                  <w:r>
                    <w:rPr>
                      <w:rFonts w:hint="eastAsia" w:ascii="Times New Roman" w:hAnsi="Times New Roman"/>
                      <w:szCs w:val="21"/>
                    </w:rPr>
                    <w:t>设置卧式埋地储油罐5个（非承重罐SF双层储罐）：其中容积为50 m</w:t>
                  </w:r>
                  <w:r>
                    <w:rPr>
                      <w:rFonts w:hint="eastAsia" w:ascii="Times New Roman" w:hAnsi="Times New Roman"/>
                      <w:szCs w:val="21"/>
                      <w:vertAlign w:val="superscript"/>
                    </w:rPr>
                    <w:t>3</w:t>
                  </w:r>
                  <w:r>
                    <w:rPr>
                      <w:rFonts w:hint="eastAsia" w:ascii="Times New Roman" w:hAnsi="Times New Roman"/>
                      <w:szCs w:val="21"/>
                    </w:rPr>
                    <w:t>和25m</w:t>
                  </w:r>
                  <w:r>
                    <w:rPr>
                      <w:rFonts w:hint="eastAsia" w:ascii="Times New Roman" w:hAnsi="Times New Roman"/>
                      <w:szCs w:val="21"/>
                      <w:vertAlign w:val="superscript"/>
                    </w:rPr>
                    <w:t>3</w:t>
                  </w:r>
                  <w:r>
                    <w:rPr>
                      <w:rFonts w:hint="eastAsia" w:ascii="Times New Roman" w:hAnsi="Times New Roman"/>
                      <w:szCs w:val="21"/>
                    </w:rPr>
                    <w:t>的汽油储罐各1座；容积50m</w:t>
                  </w:r>
                  <w:r>
                    <w:rPr>
                      <w:rFonts w:hint="eastAsia" w:ascii="Times New Roman" w:hAnsi="Times New Roman"/>
                      <w:szCs w:val="21"/>
                      <w:vertAlign w:val="superscript"/>
                    </w:rPr>
                    <w:t>3</w:t>
                  </w:r>
                  <w:r>
                    <w:rPr>
                      <w:rFonts w:hint="eastAsia" w:ascii="Times New Roman" w:hAnsi="Times New Roman"/>
                      <w:szCs w:val="21"/>
                    </w:rPr>
                    <w:t>的柴油储罐3座；</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restart"/>
                  <w:vAlign w:val="center"/>
                </w:tcPr>
                <w:p>
                  <w:pPr>
                    <w:spacing w:line="300" w:lineRule="auto"/>
                    <w:jc w:val="center"/>
                    <w:rPr>
                      <w:rFonts w:ascii="Times New Roman" w:hAnsi="Times New Roman"/>
                      <w:szCs w:val="21"/>
                    </w:rPr>
                  </w:pPr>
                  <w:r>
                    <w:rPr>
                      <w:rFonts w:ascii="Times New Roman" w:hAnsi="Times New Roman"/>
                      <w:szCs w:val="21"/>
                    </w:rPr>
                    <w:t>公用工程</w:t>
                  </w:r>
                </w:p>
              </w:tc>
              <w:tc>
                <w:tcPr>
                  <w:tcW w:w="804" w:type="pct"/>
                  <w:vAlign w:val="center"/>
                </w:tcPr>
                <w:p>
                  <w:pPr>
                    <w:spacing w:line="300" w:lineRule="auto"/>
                    <w:jc w:val="center"/>
                    <w:rPr>
                      <w:rFonts w:ascii="Times New Roman" w:hAnsi="Times New Roman"/>
                      <w:szCs w:val="21"/>
                    </w:rPr>
                  </w:pPr>
                  <w:r>
                    <w:rPr>
                      <w:rFonts w:ascii="Times New Roman" w:hAnsi="Times New Roman"/>
                      <w:szCs w:val="21"/>
                    </w:rPr>
                    <w:t>给水</w:t>
                  </w:r>
                </w:p>
              </w:tc>
              <w:tc>
                <w:tcPr>
                  <w:tcW w:w="3341" w:type="pct"/>
                  <w:vAlign w:val="center"/>
                </w:tcPr>
                <w:p>
                  <w:pPr>
                    <w:spacing w:line="300" w:lineRule="auto"/>
                    <w:jc w:val="center"/>
                    <w:rPr>
                      <w:rFonts w:ascii="Times New Roman" w:hAnsi="Times New Roman"/>
                      <w:szCs w:val="21"/>
                    </w:rPr>
                  </w:pPr>
                  <w:r>
                    <w:rPr>
                      <w:rFonts w:hint="eastAsia" w:ascii="Times New Roman" w:hAnsi="Times New Roman"/>
                      <w:szCs w:val="21"/>
                    </w:rPr>
                    <w:t>项目无生产供水；</w:t>
                  </w:r>
                  <w:r>
                    <w:rPr>
                      <w:rFonts w:ascii="Times New Roman" w:hAnsi="Times New Roman"/>
                      <w:szCs w:val="21"/>
                    </w:rPr>
                    <w:t>用水来源为</w:t>
                  </w:r>
                  <w:r>
                    <w:rPr>
                      <w:rFonts w:hint="eastAsia" w:ascii="Times New Roman" w:hAnsi="Times New Roman"/>
                      <w:szCs w:val="21"/>
                    </w:rPr>
                    <w:t>自打的</w:t>
                  </w:r>
                  <w:r>
                    <w:rPr>
                      <w:rFonts w:ascii="Times New Roman" w:hAnsi="Times New Roman"/>
                      <w:szCs w:val="21"/>
                    </w:rPr>
                    <w:t>地下水井</w:t>
                  </w:r>
                  <w:r>
                    <w:rPr>
                      <w:rFonts w:hint="eastAsia" w:ascii="Times New Roman" w:hAnsi="Times New Roman"/>
                      <w:szCs w:val="21"/>
                    </w:rPr>
                    <w:t>，1眼，饮用水为外购桶装矿泉水。</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ascii="Times New Roman" w:hAnsi="Times New Roman"/>
                      <w:szCs w:val="21"/>
                    </w:rPr>
                    <w:t>排水</w:t>
                  </w:r>
                </w:p>
              </w:tc>
              <w:tc>
                <w:tcPr>
                  <w:tcW w:w="3341" w:type="pct"/>
                  <w:vAlign w:val="center"/>
                </w:tcPr>
                <w:p>
                  <w:pPr>
                    <w:spacing w:line="300" w:lineRule="auto"/>
                    <w:jc w:val="center"/>
                    <w:rPr>
                      <w:rFonts w:ascii="Times New Roman" w:hAnsi="Times New Roman"/>
                      <w:szCs w:val="21"/>
                    </w:rPr>
                  </w:pPr>
                  <w:r>
                    <w:rPr>
                      <w:rFonts w:hint="eastAsia" w:ascii="Times New Roman" w:hAnsi="Times New Roman"/>
                      <w:szCs w:val="21"/>
                    </w:rPr>
                    <w:t>生活废水</w:t>
                  </w:r>
                  <w:r>
                    <w:rPr>
                      <w:rFonts w:ascii="Times New Roman" w:hAnsi="Times New Roman"/>
                      <w:szCs w:val="21"/>
                    </w:rPr>
                    <w:t>排至防渗旱厕</w:t>
                  </w:r>
                  <w:r>
                    <w:rPr>
                      <w:rFonts w:hint="eastAsia" w:ascii="Times New Roman" w:hAnsi="Times New Roman"/>
                      <w:szCs w:val="21"/>
                    </w:rPr>
                    <w:t>定期清掏，外运堆肥</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ascii="Times New Roman" w:hAnsi="Times New Roman"/>
                      <w:szCs w:val="21"/>
                    </w:rPr>
                    <w:t>供暖、通风</w:t>
                  </w:r>
                </w:p>
              </w:tc>
              <w:tc>
                <w:tcPr>
                  <w:tcW w:w="3341" w:type="pct"/>
                  <w:vAlign w:val="center"/>
                </w:tcPr>
                <w:p>
                  <w:pPr>
                    <w:spacing w:line="300" w:lineRule="auto"/>
                    <w:jc w:val="center"/>
                    <w:rPr>
                      <w:rFonts w:ascii="Times New Roman" w:hAnsi="Times New Roman"/>
                      <w:szCs w:val="21"/>
                    </w:rPr>
                  </w:pPr>
                  <w:r>
                    <w:rPr>
                      <w:rFonts w:ascii="Times New Roman" w:hAnsi="Times New Roman"/>
                      <w:szCs w:val="21"/>
                    </w:rPr>
                    <w:t>该站供暖采用电锅炉供暖，站房所有房间采取自然通风形式。</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ascii="Times New Roman" w:hAnsi="Times New Roman"/>
                      <w:szCs w:val="21"/>
                    </w:rPr>
                    <w:t>供电</w:t>
                  </w:r>
                </w:p>
              </w:tc>
              <w:tc>
                <w:tcPr>
                  <w:tcW w:w="3341" w:type="pct"/>
                  <w:vAlign w:val="center"/>
                </w:tcPr>
                <w:p>
                  <w:pPr>
                    <w:spacing w:line="300" w:lineRule="auto"/>
                    <w:jc w:val="center"/>
                    <w:rPr>
                      <w:rFonts w:ascii="Times New Roman" w:hAnsi="Times New Roman"/>
                      <w:szCs w:val="21"/>
                    </w:rPr>
                  </w:pPr>
                  <w:r>
                    <w:rPr>
                      <w:rFonts w:ascii="Times New Roman" w:hAnsi="Times New Roman"/>
                      <w:szCs w:val="21"/>
                    </w:rPr>
                    <w:t>由</w:t>
                  </w:r>
                  <w:r>
                    <w:rPr>
                      <w:rFonts w:hint="eastAsia" w:ascii="Times New Roman" w:hAnsi="Times New Roman"/>
                      <w:szCs w:val="21"/>
                    </w:rPr>
                    <w:t>同江市</w:t>
                  </w:r>
                  <w:r>
                    <w:rPr>
                      <w:rFonts w:ascii="Times New Roman" w:hAnsi="Times New Roman"/>
                      <w:szCs w:val="21"/>
                    </w:rPr>
                    <w:t>当地电业局提供。</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restart"/>
                  <w:vAlign w:val="center"/>
                </w:tcPr>
                <w:p>
                  <w:pPr>
                    <w:spacing w:line="300" w:lineRule="auto"/>
                    <w:jc w:val="center"/>
                    <w:rPr>
                      <w:rFonts w:ascii="Times New Roman" w:hAnsi="Times New Roman"/>
                      <w:szCs w:val="21"/>
                    </w:rPr>
                  </w:pPr>
                  <w:r>
                    <w:rPr>
                      <w:rFonts w:ascii="Times New Roman" w:hAnsi="Times New Roman"/>
                      <w:szCs w:val="21"/>
                    </w:rPr>
                    <w:t>环保工程</w:t>
                  </w:r>
                </w:p>
              </w:tc>
              <w:tc>
                <w:tcPr>
                  <w:tcW w:w="804" w:type="pct"/>
                  <w:vAlign w:val="center"/>
                </w:tcPr>
                <w:p>
                  <w:pPr>
                    <w:spacing w:line="300" w:lineRule="auto"/>
                    <w:ind w:left="-107" w:leftChars="-51" w:right="-107" w:rightChars="-51"/>
                    <w:jc w:val="center"/>
                    <w:rPr>
                      <w:rFonts w:ascii="Times New Roman" w:hAnsi="Times New Roman"/>
                      <w:szCs w:val="21"/>
                    </w:rPr>
                  </w:pPr>
                  <w:r>
                    <w:rPr>
                      <w:rFonts w:hint="eastAsia" w:ascii="Times New Roman" w:hAnsi="Times New Roman"/>
                      <w:szCs w:val="21"/>
                    </w:rPr>
                    <w:t>大气污染治理措施</w:t>
                  </w:r>
                </w:p>
              </w:tc>
              <w:tc>
                <w:tcPr>
                  <w:tcW w:w="3341" w:type="pct"/>
                  <w:vAlign w:val="center"/>
                </w:tcPr>
                <w:p>
                  <w:pPr>
                    <w:ind w:firstLine="420" w:firstLineChars="200"/>
                    <w:jc w:val="left"/>
                    <w:rPr>
                      <w:rFonts w:ascii="Times New Roman" w:hAnsi="Times New Roman"/>
                      <w:szCs w:val="21"/>
                    </w:rPr>
                  </w:pPr>
                  <w:r>
                    <w:rPr>
                      <w:rFonts w:hint="eastAsia" w:ascii="Times New Roman" w:hAnsi="Times New Roman"/>
                      <w:szCs w:val="21"/>
                    </w:rPr>
                    <w:t>设置一套</w:t>
                  </w:r>
                  <w:r>
                    <w:rPr>
                      <w:rFonts w:ascii="Times New Roman" w:hAnsi="Times New Roman"/>
                      <w:szCs w:val="21"/>
                    </w:rPr>
                    <w:t>油气回收系统</w:t>
                  </w:r>
                  <w:r>
                    <w:rPr>
                      <w:rFonts w:hint="eastAsia" w:ascii="Times New Roman" w:hAnsi="Times New Roman"/>
                      <w:szCs w:val="21"/>
                    </w:rPr>
                    <w:t>：罐区及加油机分别设有卸油油气回收、分散式加油油气回收装置；储罐均设有卸油油气回收装置，回收效率95%；2台柴油加油机及2台汽油加油机，汽油加油机带有分散式加油油气回收装置，回收效率90%。柴油储罐油罐密闭措施可以有效控制柴油储存过程中的呼吸损失。符合《大气污染物综合排放标准》（GB16297－1996）表2中非甲烷总烃周界外浓度最高点无组织排放监控浓度限值≤4.0mg/m</w:t>
                  </w:r>
                  <w:r>
                    <w:rPr>
                      <w:rFonts w:hint="eastAsia" w:ascii="Times New Roman" w:hAnsi="Times New Roman"/>
                      <w:szCs w:val="21"/>
                      <w:vertAlign w:val="superscript"/>
                    </w:rPr>
                    <w:t>3</w:t>
                  </w:r>
                  <w:r>
                    <w:rPr>
                      <w:rFonts w:hint="eastAsia" w:ascii="Times New Roman" w:hAnsi="Times New Roman"/>
                      <w:szCs w:val="21"/>
                    </w:rPr>
                    <w:t>。</w:t>
                  </w:r>
                  <w:r>
                    <w:rPr>
                      <w:rFonts w:hint="eastAsia"/>
                      <w:szCs w:val="21"/>
                    </w:rPr>
                    <w:t>站内</w:t>
                  </w:r>
                  <w:r>
                    <w:rPr>
                      <w:szCs w:val="21"/>
                    </w:rPr>
                    <w:t>满足《</w:t>
                  </w:r>
                  <w:r>
                    <w:rPr>
                      <w:rFonts w:hint="eastAsia"/>
                      <w:szCs w:val="21"/>
                    </w:rPr>
                    <w:t>挥发性</w:t>
                  </w:r>
                  <w:r>
                    <w:rPr>
                      <w:szCs w:val="21"/>
                    </w:rPr>
                    <w:t>有机物无组织排放标准》（GB</w:t>
                  </w:r>
                  <w:r>
                    <w:rPr>
                      <w:rFonts w:hint="eastAsia"/>
                      <w:szCs w:val="21"/>
                    </w:rPr>
                    <w:t>37822</w:t>
                  </w:r>
                  <w:r>
                    <w:rPr>
                      <w:szCs w:val="21"/>
                    </w:rPr>
                    <w:t>-20</w:t>
                  </w:r>
                  <w:r>
                    <w:rPr>
                      <w:rFonts w:hint="eastAsia"/>
                      <w:szCs w:val="21"/>
                    </w:rPr>
                    <w:t>19</w:t>
                  </w:r>
                  <w:r>
                    <w:rPr>
                      <w:szCs w:val="21"/>
                    </w:rPr>
                    <w:t>）中表</w:t>
                  </w:r>
                  <w:r>
                    <w:rPr>
                      <w:rFonts w:hint="eastAsia"/>
                      <w:szCs w:val="21"/>
                    </w:rPr>
                    <w:t>A.1无组织排放限值（1h平均浓度≤10mg/m</w:t>
                  </w:r>
                  <w:r>
                    <w:rPr>
                      <w:rFonts w:hint="eastAsia"/>
                      <w:szCs w:val="21"/>
                      <w:vertAlign w:val="superscript"/>
                    </w:rPr>
                    <w:t>3</w:t>
                  </w:r>
                  <w:r>
                    <w:rPr>
                      <w:rFonts w:hint="eastAsia"/>
                      <w:szCs w:val="21"/>
                    </w:rPr>
                    <w:t>，任意一次浓度值≤30mg/m</w:t>
                  </w:r>
                  <w:r>
                    <w:rPr>
                      <w:rFonts w:hint="eastAsia"/>
                      <w:szCs w:val="21"/>
                      <w:vertAlign w:val="superscript"/>
                    </w:rPr>
                    <w:t>3</w:t>
                  </w:r>
                  <w:r>
                    <w:rPr>
                      <w:rFonts w:hint="eastAsia"/>
                      <w:szCs w:val="21"/>
                    </w:rPr>
                    <w:t>）；油气排放执行《加油站大气污染物排放标准》(GB20952-2007)：处理装置的油气排放浓度应小于等于25g/m</w:t>
                  </w:r>
                  <w:r>
                    <w:rPr>
                      <w:rFonts w:hint="eastAsia"/>
                      <w:szCs w:val="21"/>
                      <w:vertAlign w:val="superscript"/>
                    </w:rPr>
                    <w:t>3</w:t>
                  </w:r>
                  <w:r>
                    <w:rPr>
                      <w:rFonts w:hint="eastAsia"/>
                      <w:szCs w:val="21"/>
                    </w:rPr>
                    <w:t>，排放口距地面高度应不低于4m。</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hint="eastAsia" w:ascii="Times New Roman" w:hAnsi="Times New Roman"/>
                      <w:szCs w:val="21"/>
                    </w:rPr>
                    <w:t>地表水污染治理措施</w:t>
                  </w:r>
                </w:p>
              </w:tc>
              <w:tc>
                <w:tcPr>
                  <w:tcW w:w="3341" w:type="pct"/>
                  <w:vAlign w:val="center"/>
                </w:tcPr>
                <w:p>
                  <w:pPr>
                    <w:ind w:firstLine="420" w:firstLineChars="200"/>
                    <w:jc w:val="left"/>
                    <w:rPr>
                      <w:rFonts w:ascii="Times New Roman" w:hAnsi="Times New Roman"/>
                      <w:szCs w:val="21"/>
                    </w:rPr>
                  </w:pPr>
                  <w:r>
                    <w:rPr>
                      <w:rFonts w:hint="eastAsia" w:ascii="Times New Roman" w:hAnsi="Times New Roman"/>
                      <w:szCs w:val="21"/>
                    </w:rPr>
                    <w:t>生活废水排至站内防渗旱厕，定期清掏，外运堆肥。</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300" w:lineRule="auto"/>
                    <w:jc w:val="center"/>
                    <w:rPr>
                      <w:rFonts w:ascii="Times New Roman" w:hAnsi="Times New Roman"/>
                      <w:szCs w:val="21"/>
                    </w:rPr>
                  </w:pPr>
                  <w:r>
                    <w:rPr>
                      <w:rFonts w:hint="eastAsia" w:ascii="Times New Roman" w:hAnsi="Times New Roman"/>
                      <w:szCs w:val="21"/>
                    </w:rPr>
                    <w:t>地下水污染控制措施</w:t>
                  </w:r>
                </w:p>
              </w:tc>
              <w:tc>
                <w:tcPr>
                  <w:tcW w:w="3341" w:type="pct"/>
                  <w:vAlign w:val="center"/>
                </w:tcPr>
                <w:p>
                  <w:pPr>
                    <w:ind w:firstLine="420" w:firstLineChars="200"/>
                    <w:jc w:val="left"/>
                    <w:rPr>
                      <w:rFonts w:ascii="Times New Roman" w:hAnsi="Times New Roman"/>
                      <w:szCs w:val="21"/>
                    </w:rPr>
                  </w:pPr>
                  <w:r>
                    <w:rPr>
                      <w:rFonts w:hint="eastAsia" w:ascii="Times New Roman" w:hAnsi="Times New Roman"/>
                      <w:szCs w:val="21"/>
                    </w:rPr>
                    <w:t>加油区及站房地面采取防渗漏措施；地下油罐区及埋地输油管进行防腐措施，储油罐采用双层油罐，防止油品泄漏污染地下水，</w:t>
                  </w:r>
                  <w:r>
                    <w:rPr>
                      <w:rFonts w:ascii="Times New Roman" w:hAnsi="Times New Roman"/>
                      <w:szCs w:val="21"/>
                    </w:rPr>
                    <w:t>油罐防渗在线检测系统、地下水跟踪监测井</w:t>
                  </w:r>
                  <w:r>
                    <w:rPr>
                      <w:rFonts w:hint="eastAsia" w:ascii="Times New Roman" w:hAnsi="Times New Roman"/>
                      <w:szCs w:val="21"/>
                    </w:rPr>
                    <w:t>1眼。</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280" w:lineRule="exact"/>
                    <w:jc w:val="center"/>
                    <w:rPr>
                      <w:szCs w:val="21"/>
                    </w:rPr>
                  </w:pPr>
                  <w:r>
                    <w:rPr>
                      <w:rFonts w:hint="eastAsia"/>
                      <w:szCs w:val="21"/>
                    </w:rPr>
                    <w:t>噪声控制措施</w:t>
                  </w:r>
                </w:p>
              </w:tc>
              <w:tc>
                <w:tcPr>
                  <w:tcW w:w="3341" w:type="pct"/>
                  <w:vAlign w:val="center"/>
                </w:tcPr>
                <w:p>
                  <w:pPr>
                    <w:ind w:firstLine="420" w:firstLineChars="200"/>
                    <w:jc w:val="left"/>
                    <w:rPr>
                      <w:szCs w:val="21"/>
                    </w:rPr>
                  </w:pPr>
                  <w:r>
                    <w:rPr>
                      <w:rFonts w:hint="eastAsia"/>
                      <w:szCs w:val="21"/>
                    </w:rPr>
                    <w:t>选择低噪声的设备，同时采取减振降噪措施对本项目噪声设备进行噪声控制。</w:t>
                  </w:r>
                </w:p>
              </w:tc>
              <w:tc>
                <w:tcPr>
                  <w:tcW w:w="493" w:type="pct"/>
                  <w:vAlign w:val="center"/>
                </w:tcPr>
                <w:p>
                  <w:pPr>
                    <w:spacing w:line="300" w:lineRule="auto"/>
                    <w:jc w:val="center"/>
                    <w:rPr>
                      <w:rFonts w:ascii="Times New Roman" w:hAnsi="Times New Roman"/>
                      <w:szCs w:val="21"/>
                    </w:rPr>
                  </w:pPr>
                  <w:r>
                    <w:rPr>
                      <w:rFonts w:hint="eastAsia" w:ascii="Times New Roman" w:hAnsi="Times New Roman"/>
                      <w:szCs w:val="21"/>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2" w:type="pct"/>
                  <w:vMerge w:val="continue"/>
                  <w:vAlign w:val="center"/>
                </w:tcPr>
                <w:p>
                  <w:pPr>
                    <w:spacing w:line="300" w:lineRule="auto"/>
                    <w:jc w:val="center"/>
                    <w:rPr>
                      <w:rFonts w:ascii="Times New Roman" w:hAnsi="Times New Roman"/>
                      <w:szCs w:val="21"/>
                    </w:rPr>
                  </w:pPr>
                </w:p>
              </w:tc>
              <w:tc>
                <w:tcPr>
                  <w:tcW w:w="804" w:type="pct"/>
                  <w:vAlign w:val="center"/>
                </w:tcPr>
                <w:p>
                  <w:pPr>
                    <w:spacing w:line="280" w:lineRule="exact"/>
                    <w:jc w:val="center"/>
                    <w:rPr>
                      <w:szCs w:val="21"/>
                    </w:rPr>
                  </w:pPr>
                  <w:r>
                    <w:rPr>
                      <w:rFonts w:hint="eastAsia"/>
                      <w:szCs w:val="21"/>
                    </w:rPr>
                    <w:t>固废处置措施</w:t>
                  </w:r>
                </w:p>
              </w:tc>
              <w:tc>
                <w:tcPr>
                  <w:tcW w:w="3341" w:type="pct"/>
                  <w:vAlign w:val="center"/>
                </w:tcPr>
                <w:p>
                  <w:pPr>
                    <w:ind w:firstLine="420" w:firstLineChars="200"/>
                    <w:jc w:val="left"/>
                    <w:rPr>
                      <w:szCs w:val="21"/>
                    </w:rPr>
                  </w:pPr>
                  <w:r>
                    <w:rPr>
                      <w:rFonts w:hint="eastAsia"/>
                      <w:szCs w:val="21"/>
                    </w:rPr>
                    <w:t>生活垃圾需要经集中收集后，送至环卫部门指定的消纳地点；</w:t>
                  </w:r>
                </w:p>
                <w:p>
                  <w:pPr>
                    <w:ind w:firstLine="420" w:firstLineChars="200"/>
                    <w:jc w:val="left"/>
                    <w:rPr>
                      <w:szCs w:val="21"/>
                    </w:rPr>
                  </w:pPr>
                  <w:r>
                    <w:rPr>
                      <w:rFonts w:hint="eastAsia"/>
                      <w:szCs w:val="21"/>
                    </w:rPr>
                    <w:t>油罐底部油泥清除后即运往具有危险废物处理资质的公司处理清理、运输和处置，不在项目场区内贮存，所以本项目厂区内不设置危险废物暂存间，油泥均委托处置；</w:t>
                  </w:r>
                </w:p>
              </w:tc>
              <w:tc>
                <w:tcPr>
                  <w:tcW w:w="493" w:type="pct"/>
                  <w:vAlign w:val="center"/>
                </w:tcPr>
                <w:p>
                  <w:pPr>
                    <w:jc w:val="center"/>
                    <w:rPr>
                      <w:szCs w:val="21"/>
                    </w:rPr>
                  </w:pPr>
                  <w:r>
                    <w:rPr>
                      <w:rFonts w:hint="eastAsia" w:ascii="Times New Roman" w:hAnsi="Times New Roman"/>
                      <w:szCs w:val="21"/>
                    </w:rPr>
                    <w:t>新建</w:t>
                  </w:r>
                </w:p>
              </w:tc>
            </w:tr>
          </w:tbl>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3 项目规模</w:t>
            </w:r>
          </w:p>
          <w:p>
            <w:pPr>
              <w:spacing w:line="360" w:lineRule="auto"/>
              <w:ind w:firstLine="560" w:firstLineChars="200"/>
              <w:rPr>
                <w:rFonts w:ascii="Times New Roman" w:hAnsi="Times New Roman"/>
                <w:sz w:val="28"/>
                <w:szCs w:val="28"/>
              </w:rPr>
            </w:pPr>
            <w:r>
              <w:rPr>
                <w:rFonts w:ascii="Times New Roman" w:hAnsi="Times New Roman"/>
                <w:sz w:val="28"/>
                <w:szCs w:val="28"/>
              </w:rPr>
              <w:t>罐容量：总容积</w:t>
            </w:r>
            <w:r>
              <w:rPr>
                <w:rFonts w:hint="eastAsia" w:ascii="Times New Roman" w:hAnsi="Times New Roman"/>
                <w:sz w:val="28"/>
                <w:szCs w:val="28"/>
              </w:rPr>
              <w:t>225</w:t>
            </w:r>
            <w:r>
              <w:rPr>
                <w:rFonts w:ascii="Times New Roman" w:hAnsi="Times New Roman"/>
                <w:sz w:val="28"/>
                <w:szCs w:val="28"/>
              </w:rPr>
              <w:t>m</w:t>
            </w:r>
            <w:r>
              <w:rPr>
                <w:rFonts w:ascii="Times New Roman" w:hAnsi="Times New Roman"/>
                <w:sz w:val="28"/>
                <w:szCs w:val="28"/>
                <w:vertAlign w:val="superscript"/>
              </w:rPr>
              <w:t>3</w:t>
            </w:r>
            <w:r>
              <w:rPr>
                <w:rFonts w:ascii="Times New Roman" w:hAnsi="Times New Roman"/>
                <w:sz w:val="28"/>
                <w:szCs w:val="28"/>
              </w:rPr>
              <w:t>，折合容积</w:t>
            </w:r>
            <w:r>
              <w:rPr>
                <w:rFonts w:hint="eastAsia" w:ascii="Times New Roman" w:hAnsi="Times New Roman"/>
                <w:sz w:val="28"/>
                <w:szCs w:val="28"/>
              </w:rPr>
              <w:t>15</w:t>
            </w:r>
            <w:r>
              <w:rPr>
                <w:rFonts w:ascii="Times New Roman" w:hAnsi="Times New Roman"/>
                <w:sz w:val="28"/>
                <w:szCs w:val="28"/>
              </w:rPr>
              <w:t>0m</w:t>
            </w:r>
            <w:r>
              <w:rPr>
                <w:rFonts w:ascii="Times New Roman" w:hAnsi="Times New Roman"/>
                <w:sz w:val="28"/>
                <w:szCs w:val="28"/>
                <w:vertAlign w:val="superscript"/>
              </w:rPr>
              <w:t>3</w:t>
            </w:r>
            <w:r>
              <w:rPr>
                <w:rFonts w:ascii="Times New Roman" w:hAnsi="Times New Roman"/>
                <w:sz w:val="28"/>
                <w:szCs w:val="28"/>
              </w:rPr>
              <w:t>（</w:t>
            </w:r>
            <w:r>
              <w:rPr>
                <w:rFonts w:hint="eastAsia" w:ascii="Times New Roman" w:hAnsi="Times New Roman"/>
                <w:sz w:val="28"/>
                <w:szCs w:val="28"/>
              </w:rPr>
              <w:t>汽油罐总容积75 m</w:t>
            </w:r>
            <w:r>
              <w:rPr>
                <w:rFonts w:hint="eastAsia" w:ascii="Times New Roman" w:hAnsi="Times New Roman"/>
                <w:sz w:val="28"/>
                <w:szCs w:val="28"/>
                <w:vertAlign w:val="superscript"/>
              </w:rPr>
              <w:t>3</w:t>
            </w:r>
            <w:r>
              <w:rPr>
                <w:rFonts w:hint="eastAsia" w:ascii="Times New Roman" w:hAnsi="Times New Roman"/>
                <w:sz w:val="28"/>
                <w:szCs w:val="28"/>
              </w:rPr>
              <w:t>，</w:t>
            </w:r>
            <w:r>
              <w:rPr>
                <w:rFonts w:ascii="Times New Roman" w:hAnsi="Times New Roman"/>
                <w:sz w:val="28"/>
                <w:szCs w:val="28"/>
              </w:rPr>
              <w:t>柴油罐</w:t>
            </w:r>
            <w:r>
              <w:rPr>
                <w:rFonts w:hint="eastAsia" w:ascii="Times New Roman" w:hAnsi="Times New Roman"/>
                <w:sz w:val="28"/>
                <w:szCs w:val="28"/>
              </w:rPr>
              <w:t>总</w:t>
            </w:r>
            <w:r>
              <w:rPr>
                <w:rFonts w:ascii="Times New Roman" w:hAnsi="Times New Roman"/>
                <w:sz w:val="28"/>
                <w:szCs w:val="28"/>
              </w:rPr>
              <w:t>容积</w:t>
            </w:r>
            <w:r>
              <w:rPr>
                <w:rFonts w:hint="eastAsia" w:ascii="Times New Roman" w:hAnsi="Times New Roman"/>
                <w:sz w:val="28"/>
                <w:szCs w:val="28"/>
              </w:rPr>
              <w:t>150 m</w:t>
            </w:r>
            <w:r>
              <w:rPr>
                <w:rFonts w:hint="eastAsia" w:ascii="Times New Roman" w:hAnsi="Times New Roman"/>
                <w:sz w:val="28"/>
                <w:szCs w:val="28"/>
                <w:vertAlign w:val="superscript"/>
              </w:rPr>
              <w:t>3</w:t>
            </w:r>
            <w:r>
              <w:rPr>
                <w:rFonts w:hint="eastAsia" w:ascii="Times New Roman" w:hAnsi="Times New Roman"/>
                <w:sz w:val="28"/>
                <w:szCs w:val="28"/>
              </w:rPr>
              <w:t>，</w:t>
            </w:r>
            <w:r>
              <w:rPr>
                <w:rFonts w:ascii="Times New Roman" w:hAnsi="Times New Roman"/>
                <w:sz w:val="28"/>
                <w:szCs w:val="28"/>
              </w:rPr>
              <w:t>按折半计）。</w:t>
            </w:r>
          </w:p>
          <w:p>
            <w:pPr>
              <w:spacing w:line="360" w:lineRule="auto"/>
              <w:ind w:firstLine="560" w:firstLineChars="200"/>
              <w:rPr>
                <w:rFonts w:ascii="Times New Roman" w:hAnsi="Times New Roman"/>
                <w:sz w:val="28"/>
                <w:szCs w:val="28"/>
              </w:rPr>
            </w:pPr>
            <w:r>
              <w:rPr>
                <w:rFonts w:ascii="Times New Roman" w:hAnsi="Times New Roman"/>
                <w:sz w:val="28"/>
                <w:szCs w:val="28"/>
              </w:rPr>
              <w:t>加油站等级：根据《汽车加油加气站设计与施工规范》（GB50156-2012）（2014年局部修订版），该加油站的等级为</w:t>
            </w:r>
            <w:r>
              <w:rPr>
                <w:rFonts w:hint="eastAsia" w:ascii="Times New Roman" w:hAnsi="Times New Roman"/>
                <w:sz w:val="28"/>
                <w:szCs w:val="28"/>
              </w:rPr>
              <w:t>二</w:t>
            </w:r>
            <w:r>
              <w:rPr>
                <w:rFonts w:ascii="Times New Roman" w:hAnsi="Times New Roman"/>
                <w:sz w:val="28"/>
                <w:szCs w:val="28"/>
              </w:rPr>
              <w:t>级加油站。划分方式如下表所示。</w:t>
            </w:r>
          </w:p>
          <w:p>
            <w:pPr>
              <w:spacing w:line="360" w:lineRule="auto"/>
              <w:jc w:val="center"/>
              <w:rPr>
                <w:rFonts w:ascii="Times New Roman" w:hAnsi="Times New Roman"/>
                <w:b/>
                <w:sz w:val="24"/>
                <w:szCs w:val="24"/>
              </w:rPr>
            </w:pPr>
            <w:r>
              <w:rPr>
                <w:rFonts w:ascii="Times New Roman" w:hAnsi="Times New Roman"/>
                <w:b/>
                <w:sz w:val="24"/>
                <w:szCs w:val="24"/>
              </w:rPr>
              <w:t>表2    加油站等级划分一览表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3041"/>
              <w:gridCol w:w="382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39" w:type="pct"/>
                  <w:vMerge w:val="restar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级别</w:t>
                  </w:r>
                </w:p>
              </w:tc>
              <w:tc>
                <w:tcPr>
                  <w:tcW w:w="3761" w:type="pct"/>
                  <w:gridSpan w:val="2"/>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油罐容积（m³）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39" w:type="pct"/>
                  <w:vMerge w:val="continue"/>
                  <w:shd w:val="clear" w:color="auto" w:fill="auto"/>
                  <w:vAlign w:val="center"/>
                </w:tcPr>
                <w:p>
                  <w:pPr>
                    <w:spacing w:line="300" w:lineRule="auto"/>
                    <w:jc w:val="center"/>
                    <w:rPr>
                      <w:rFonts w:ascii="Times New Roman" w:hAnsi="Times New Roman" w:eastAsiaTheme="minorEastAsia"/>
                      <w:szCs w:val="21"/>
                    </w:rPr>
                  </w:pPr>
                </w:p>
              </w:tc>
              <w:tc>
                <w:tcPr>
                  <w:tcW w:w="1667"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总容积</w:t>
                  </w:r>
                </w:p>
              </w:tc>
              <w:tc>
                <w:tcPr>
                  <w:tcW w:w="2094"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单罐容积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39"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一级</w:t>
                  </w:r>
                </w:p>
              </w:tc>
              <w:tc>
                <w:tcPr>
                  <w:tcW w:w="1667"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150＜V≤210</w:t>
                  </w:r>
                </w:p>
              </w:tc>
              <w:tc>
                <w:tcPr>
                  <w:tcW w:w="2094"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V≤50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39"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二级</w:t>
                  </w:r>
                </w:p>
              </w:tc>
              <w:tc>
                <w:tcPr>
                  <w:tcW w:w="1667"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90＜V≤150</w:t>
                  </w:r>
                </w:p>
              </w:tc>
              <w:tc>
                <w:tcPr>
                  <w:tcW w:w="2094"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V≤50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39"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三级</w:t>
                  </w:r>
                </w:p>
              </w:tc>
              <w:tc>
                <w:tcPr>
                  <w:tcW w:w="1667"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V≤90</w:t>
                  </w:r>
                </w:p>
              </w:tc>
              <w:tc>
                <w:tcPr>
                  <w:tcW w:w="2094" w:type="pct"/>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汽油罐≤30，柴油罐≤50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3"/>
                  <w:shd w:val="clear" w:color="auto" w:fill="auto"/>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注：V为油罐总容积；柴油罐容积可折半计入油罐总容积</w:t>
                  </w:r>
                </w:p>
              </w:tc>
            </w:tr>
          </w:tbl>
          <w:p>
            <w:pPr>
              <w:spacing w:line="360" w:lineRule="auto"/>
              <w:ind w:firstLine="560" w:firstLineChars="200"/>
              <w:rPr>
                <w:rFonts w:ascii="Times New Roman" w:hAnsi="Times New Roman"/>
                <w:sz w:val="28"/>
                <w:szCs w:val="28"/>
              </w:rPr>
            </w:pPr>
            <w:r>
              <w:rPr>
                <w:rFonts w:ascii="Times New Roman" w:hAnsi="Times New Roman"/>
                <w:sz w:val="28"/>
                <w:szCs w:val="28"/>
              </w:rPr>
              <w:t>依据项目可行性研究报告和总平面布置图，本项目工程建、构筑物和设备、设施，详见下表。</w:t>
            </w:r>
          </w:p>
          <w:p>
            <w:pPr>
              <w:spacing w:line="360" w:lineRule="auto"/>
              <w:jc w:val="center"/>
              <w:rPr>
                <w:rFonts w:ascii="Times New Roman" w:hAnsi="Times New Roman"/>
                <w:b/>
                <w:sz w:val="24"/>
                <w:szCs w:val="24"/>
              </w:rPr>
            </w:pPr>
            <w:r>
              <w:rPr>
                <w:rFonts w:ascii="Times New Roman" w:hAnsi="Times New Roman"/>
                <w:b/>
                <w:sz w:val="24"/>
                <w:szCs w:val="24"/>
              </w:rPr>
              <w:t>表3   主要建（构）筑物一览表</w:t>
            </w:r>
          </w:p>
          <w:tbl>
            <w:tblPr>
              <w:tblStyle w:val="2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085"/>
              <w:gridCol w:w="896"/>
              <w:gridCol w:w="1372"/>
              <w:gridCol w:w="913"/>
              <w:gridCol w:w="1372"/>
              <w:gridCol w:w="1102"/>
              <w:gridCol w:w="17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t>序号</w:t>
                  </w:r>
                </w:p>
              </w:tc>
              <w:tc>
                <w:tcPr>
                  <w:tcW w:w="1085" w:type="dxa"/>
                  <w:vAlign w:val="center"/>
                </w:tcPr>
                <w:p>
                  <w:pPr>
                    <w:jc w:val="center"/>
                  </w:pPr>
                  <w:r>
                    <w:t>名称</w:t>
                  </w:r>
                </w:p>
              </w:tc>
              <w:tc>
                <w:tcPr>
                  <w:tcW w:w="896" w:type="dxa"/>
                  <w:vAlign w:val="center"/>
                </w:tcPr>
                <w:p>
                  <w:pPr>
                    <w:jc w:val="center"/>
                  </w:pPr>
                  <w:r>
                    <w:t>火灾危险性分类</w:t>
                  </w:r>
                </w:p>
              </w:tc>
              <w:tc>
                <w:tcPr>
                  <w:tcW w:w="1372" w:type="dxa"/>
                  <w:vAlign w:val="center"/>
                </w:tcPr>
                <w:p>
                  <w:pPr>
                    <w:jc w:val="center"/>
                  </w:pPr>
                  <w:r>
                    <w:t>建筑</w:t>
                  </w:r>
                </w:p>
                <w:p>
                  <w:pPr>
                    <w:jc w:val="center"/>
                  </w:pPr>
                  <w:r>
                    <w:rPr>
                      <w:rFonts w:hint="eastAsia"/>
                    </w:rPr>
                    <w:t>面积（</w:t>
                  </w:r>
                  <w:r>
                    <w:t>m</w:t>
                  </w:r>
                  <w:r>
                    <w:rPr>
                      <w:vertAlign w:val="superscript"/>
                    </w:rPr>
                    <w:t>2</w:t>
                  </w:r>
                  <w:r>
                    <w:rPr>
                      <w:rFonts w:hint="eastAsia"/>
                    </w:rPr>
                    <w:t>）</w:t>
                  </w:r>
                </w:p>
              </w:tc>
              <w:tc>
                <w:tcPr>
                  <w:tcW w:w="913" w:type="dxa"/>
                  <w:vAlign w:val="center"/>
                </w:tcPr>
                <w:p>
                  <w:pPr>
                    <w:jc w:val="center"/>
                  </w:pPr>
                  <w:r>
                    <w:t>层数</w:t>
                  </w:r>
                </w:p>
                <w:p>
                  <w:pPr>
                    <w:jc w:val="center"/>
                  </w:pPr>
                  <w:r>
                    <w:t>（高度）m</w:t>
                  </w:r>
                </w:p>
              </w:tc>
              <w:tc>
                <w:tcPr>
                  <w:tcW w:w="1372" w:type="dxa"/>
                  <w:vAlign w:val="center"/>
                </w:tcPr>
                <w:p>
                  <w:pPr>
                    <w:jc w:val="center"/>
                  </w:pPr>
                  <w:r>
                    <w:t>结构形式</w:t>
                  </w:r>
                </w:p>
              </w:tc>
              <w:tc>
                <w:tcPr>
                  <w:tcW w:w="1102" w:type="dxa"/>
                  <w:vAlign w:val="center"/>
                </w:tcPr>
                <w:p>
                  <w:pPr>
                    <w:jc w:val="center"/>
                  </w:pPr>
                  <w:r>
                    <w:t>耐火等级</w:t>
                  </w:r>
                </w:p>
              </w:tc>
              <w:tc>
                <w:tcPr>
                  <w:tcW w:w="1766" w:type="dxa"/>
                  <w:vAlign w:val="center"/>
                </w:tcPr>
                <w:p>
                  <w:pPr>
                    <w:jc w:val="center"/>
                  </w:pPr>
                  <w: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t>1</w:t>
                  </w:r>
                </w:p>
              </w:tc>
              <w:tc>
                <w:tcPr>
                  <w:tcW w:w="1085" w:type="dxa"/>
                  <w:vAlign w:val="center"/>
                </w:tcPr>
                <w:p>
                  <w:pPr>
                    <w:jc w:val="center"/>
                  </w:pPr>
                  <w:r>
                    <w:t>站房</w:t>
                  </w:r>
                </w:p>
              </w:tc>
              <w:tc>
                <w:tcPr>
                  <w:tcW w:w="896" w:type="dxa"/>
                  <w:vAlign w:val="center"/>
                </w:tcPr>
                <w:p>
                  <w:pPr>
                    <w:jc w:val="center"/>
                  </w:pPr>
                  <w:r>
                    <w:t>—</w:t>
                  </w:r>
                </w:p>
              </w:tc>
              <w:tc>
                <w:tcPr>
                  <w:tcW w:w="1372" w:type="dxa"/>
                  <w:vAlign w:val="center"/>
                </w:tcPr>
                <w:p>
                  <w:pPr>
                    <w:jc w:val="center"/>
                  </w:pPr>
                  <w:r>
                    <w:rPr>
                      <w:rFonts w:hint="eastAsia"/>
                    </w:rPr>
                    <w:t>180.00</w:t>
                  </w:r>
                </w:p>
              </w:tc>
              <w:tc>
                <w:tcPr>
                  <w:tcW w:w="913" w:type="dxa"/>
                  <w:vAlign w:val="center"/>
                </w:tcPr>
                <w:p>
                  <w:pPr>
                    <w:jc w:val="center"/>
                  </w:pPr>
                  <w:r>
                    <w:rPr>
                      <w:rFonts w:hint="eastAsia"/>
                    </w:rPr>
                    <w:t>一层</w:t>
                  </w:r>
                </w:p>
              </w:tc>
              <w:tc>
                <w:tcPr>
                  <w:tcW w:w="1372" w:type="dxa"/>
                  <w:vAlign w:val="center"/>
                </w:tcPr>
                <w:p>
                  <w:pPr>
                    <w:jc w:val="center"/>
                  </w:pPr>
                  <w:r>
                    <w:rPr>
                      <w:rFonts w:hint="eastAsia"/>
                    </w:rPr>
                    <w:t>砖混</w:t>
                  </w:r>
                </w:p>
              </w:tc>
              <w:tc>
                <w:tcPr>
                  <w:tcW w:w="1102" w:type="dxa"/>
                  <w:vAlign w:val="center"/>
                </w:tcPr>
                <w:p>
                  <w:pPr>
                    <w:jc w:val="center"/>
                  </w:pPr>
                  <w:r>
                    <w:rPr>
                      <w:rFonts w:hint="eastAsia"/>
                    </w:rPr>
                    <w:t>二级</w:t>
                  </w:r>
                </w:p>
              </w:tc>
              <w:tc>
                <w:tcPr>
                  <w:tcW w:w="1766" w:type="dxa"/>
                  <w:vAlign w:val="center"/>
                </w:tcPr>
                <w:p>
                  <w:pPr>
                    <w:jc w:val="center"/>
                  </w:pPr>
                  <w:r>
                    <w:rPr>
                      <w:rFonts w:hint="eastAsia"/>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t>2</w:t>
                  </w:r>
                </w:p>
              </w:tc>
              <w:tc>
                <w:tcPr>
                  <w:tcW w:w="1085" w:type="dxa"/>
                  <w:vAlign w:val="center"/>
                </w:tcPr>
                <w:p>
                  <w:pPr>
                    <w:jc w:val="center"/>
                  </w:pPr>
                  <w:r>
                    <w:t>加油罩棚</w:t>
                  </w:r>
                </w:p>
              </w:tc>
              <w:tc>
                <w:tcPr>
                  <w:tcW w:w="896" w:type="dxa"/>
                  <w:vAlign w:val="center"/>
                </w:tcPr>
                <w:p>
                  <w:pPr>
                    <w:jc w:val="center"/>
                  </w:pPr>
                  <w:r>
                    <w:t>局部甲类</w:t>
                  </w:r>
                </w:p>
              </w:tc>
              <w:tc>
                <w:tcPr>
                  <w:tcW w:w="1372" w:type="dxa"/>
                  <w:vAlign w:val="center"/>
                </w:tcPr>
                <w:p>
                  <w:pPr>
                    <w:jc w:val="center"/>
                  </w:pPr>
                  <w:r>
                    <w:rPr>
                      <w:rFonts w:hint="eastAsia"/>
                    </w:rPr>
                    <w:t>260.00</w:t>
                  </w:r>
                </w:p>
              </w:tc>
              <w:tc>
                <w:tcPr>
                  <w:tcW w:w="913" w:type="dxa"/>
                  <w:vAlign w:val="center"/>
                </w:tcPr>
                <w:p>
                  <w:pPr>
                    <w:jc w:val="center"/>
                  </w:pPr>
                  <w:r>
                    <w:rPr>
                      <w:rFonts w:hint="eastAsia"/>
                    </w:rPr>
                    <w:t>—</w:t>
                  </w:r>
                </w:p>
              </w:tc>
              <w:tc>
                <w:tcPr>
                  <w:tcW w:w="1372" w:type="dxa"/>
                  <w:vAlign w:val="center"/>
                </w:tcPr>
                <w:p>
                  <w:pPr>
                    <w:jc w:val="center"/>
                  </w:pPr>
                  <w:r>
                    <w:rPr>
                      <w:rFonts w:hint="eastAsia"/>
                    </w:rPr>
                    <w:t>螺栓球网架</w:t>
                  </w:r>
                </w:p>
              </w:tc>
              <w:tc>
                <w:tcPr>
                  <w:tcW w:w="1102" w:type="dxa"/>
                  <w:vAlign w:val="center"/>
                </w:tcPr>
                <w:p>
                  <w:pPr>
                    <w:jc w:val="center"/>
                  </w:pPr>
                  <w:r>
                    <w:rPr>
                      <w:rFonts w:hint="eastAsia"/>
                    </w:rPr>
                    <w:t>二级</w:t>
                  </w:r>
                </w:p>
              </w:tc>
              <w:tc>
                <w:tcPr>
                  <w:tcW w:w="1766" w:type="dxa"/>
                  <w:vAlign w:val="center"/>
                </w:tcPr>
                <w:p>
                  <w:pPr>
                    <w:jc w:val="center"/>
                  </w:pPr>
                  <w:r>
                    <w:rPr>
                      <w:rFonts w:hint="eastAsia"/>
                    </w:rPr>
                    <w:t>新建，H=6.5m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t>3</w:t>
                  </w:r>
                </w:p>
              </w:tc>
              <w:tc>
                <w:tcPr>
                  <w:tcW w:w="1085" w:type="dxa"/>
                  <w:vAlign w:val="center"/>
                </w:tcPr>
                <w:p>
                  <w:pPr>
                    <w:jc w:val="center"/>
                  </w:pPr>
                  <w:r>
                    <w:t>加油岛</w:t>
                  </w:r>
                </w:p>
              </w:tc>
              <w:tc>
                <w:tcPr>
                  <w:tcW w:w="896" w:type="dxa"/>
                  <w:vAlign w:val="center"/>
                </w:tcPr>
                <w:p>
                  <w:pPr>
                    <w:jc w:val="center"/>
                  </w:pPr>
                  <w:r>
                    <w:t>甲类</w:t>
                  </w:r>
                </w:p>
              </w:tc>
              <w:tc>
                <w:tcPr>
                  <w:tcW w:w="1372" w:type="dxa"/>
                  <w:vAlign w:val="center"/>
                </w:tcPr>
                <w:p>
                  <w:pPr>
                    <w:jc w:val="center"/>
                  </w:pPr>
                  <w:r>
                    <w:rPr>
                      <w:rFonts w:hint="eastAsia"/>
                    </w:rPr>
                    <w:t>—</w:t>
                  </w:r>
                </w:p>
              </w:tc>
              <w:tc>
                <w:tcPr>
                  <w:tcW w:w="913" w:type="dxa"/>
                  <w:vAlign w:val="center"/>
                </w:tcPr>
                <w:p>
                  <w:pPr>
                    <w:jc w:val="center"/>
                  </w:pPr>
                  <w:r>
                    <w:rPr>
                      <w:rFonts w:hint="eastAsia"/>
                    </w:rPr>
                    <w:t>—</w:t>
                  </w:r>
                </w:p>
              </w:tc>
              <w:tc>
                <w:tcPr>
                  <w:tcW w:w="1372" w:type="dxa"/>
                  <w:vAlign w:val="center"/>
                </w:tcPr>
                <w:p>
                  <w:pPr>
                    <w:jc w:val="center"/>
                  </w:pPr>
                  <w:r>
                    <w:rPr>
                      <w:rFonts w:hint="eastAsia"/>
                    </w:rPr>
                    <w:t>混凝土</w:t>
                  </w:r>
                </w:p>
              </w:tc>
              <w:tc>
                <w:tcPr>
                  <w:tcW w:w="1102" w:type="dxa"/>
                  <w:vAlign w:val="center"/>
                </w:tcPr>
                <w:p>
                  <w:pPr>
                    <w:jc w:val="center"/>
                  </w:pPr>
                  <w:r>
                    <w:rPr>
                      <w:rFonts w:hint="eastAsia"/>
                    </w:rPr>
                    <w:t>二级</w:t>
                  </w:r>
                </w:p>
              </w:tc>
              <w:tc>
                <w:tcPr>
                  <w:tcW w:w="1766" w:type="dxa"/>
                  <w:vAlign w:val="center"/>
                </w:tcPr>
                <w:p>
                  <w:pPr>
                    <w:jc w:val="center"/>
                  </w:pPr>
                  <w:r>
                    <w:rPr>
                      <w:rFonts w:hint="eastAsia"/>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t>4</w:t>
                  </w:r>
                </w:p>
              </w:tc>
              <w:tc>
                <w:tcPr>
                  <w:tcW w:w="1085" w:type="dxa"/>
                  <w:vAlign w:val="center"/>
                </w:tcPr>
                <w:p>
                  <w:pPr>
                    <w:jc w:val="center"/>
                  </w:pPr>
                  <w:r>
                    <w:t>油罐区</w:t>
                  </w:r>
                </w:p>
              </w:tc>
              <w:tc>
                <w:tcPr>
                  <w:tcW w:w="896" w:type="dxa"/>
                  <w:vAlign w:val="center"/>
                </w:tcPr>
                <w:p>
                  <w:pPr>
                    <w:jc w:val="center"/>
                  </w:pPr>
                  <w:r>
                    <w:t>甲类</w:t>
                  </w:r>
                </w:p>
              </w:tc>
              <w:tc>
                <w:tcPr>
                  <w:tcW w:w="1372" w:type="dxa"/>
                  <w:vAlign w:val="center"/>
                </w:tcPr>
                <w:p>
                  <w:pPr>
                    <w:jc w:val="center"/>
                  </w:pPr>
                  <w:r>
                    <w:rPr>
                      <w:rFonts w:hint="eastAsia"/>
                    </w:rPr>
                    <w:t>210.92</w:t>
                  </w:r>
                </w:p>
              </w:tc>
              <w:tc>
                <w:tcPr>
                  <w:tcW w:w="913" w:type="dxa"/>
                  <w:vAlign w:val="center"/>
                </w:tcPr>
                <w:p>
                  <w:pPr>
                    <w:jc w:val="center"/>
                  </w:pPr>
                  <w:r>
                    <w:rPr>
                      <w:rFonts w:hint="eastAsia"/>
                    </w:rPr>
                    <w:t>埋地</w:t>
                  </w:r>
                </w:p>
              </w:tc>
              <w:tc>
                <w:tcPr>
                  <w:tcW w:w="1372" w:type="dxa"/>
                  <w:vAlign w:val="center"/>
                </w:tcPr>
                <w:p>
                  <w:pPr>
                    <w:jc w:val="center"/>
                  </w:pPr>
                  <w:r>
                    <w:rPr>
                      <w:rFonts w:hint="eastAsia"/>
                    </w:rPr>
                    <w:t>混凝土</w:t>
                  </w:r>
                </w:p>
              </w:tc>
              <w:tc>
                <w:tcPr>
                  <w:tcW w:w="1102" w:type="dxa"/>
                  <w:vAlign w:val="center"/>
                </w:tcPr>
                <w:p>
                  <w:pPr>
                    <w:jc w:val="center"/>
                  </w:pPr>
                  <w:r>
                    <w:rPr>
                      <w:rFonts w:hint="eastAsia"/>
                    </w:rPr>
                    <w:t>—</w:t>
                  </w:r>
                </w:p>
              </w:tc>
              <w:tc>
                <w:tcPr>
                  <w:tcW w:w="1766" w:type="dxa"/>
                  <w:vAlign w:val="center"/>
                </w:tcPr>
                <w:p>
                  <w:pPr>
                    <w:jc w:val="center"/>
                  </w:pPr>
                  <w:r>
                    <w:rPr>
                      <w:rFonts w:hint="eastAsia"/>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t>5</w:t>
                  </w:r>
                </w:p>
              </w:tc>
              <w:tc>
                <w:tcPr>
                  <w:tcW w:w="1085" w:type="dxa"/>
                  <w:vAlign w:val="center"/>
                </w:tcPr>
                <w:p>
                  <w:pPr>
                    <w:jc w:val="center"/>
                  </w:pPr>
                  <w:r>
                    <w:t>站区围墙</w:t>
                  </w:r>
                </w:p>
              </w:tc>
              <w:tc>
                <w:tcPr>
                  <w:tcW w:w="896" w:type="dxa"/>
                  <w:vAlign w:val="center"/>
                </w:tcPr>
                <w:p>
                  <w:pPr>
                    <w:jc w:val="center"/>
                  </w:pPr>
                  <w:r>
                    <w:t>—</w:t>
                  </w:r>
                </w:p>
              </w:tc>
              <w:tc>
                <w:tcPr>
                  <w:tcW w:w="1372" w:type="dxa"/>
                  <w:vAlign w:val="center"/>
                </w:tcPr>
                <w:p>
                  <w:pPr>
                    <w:jc w:val="center"/>
                  </w:pPr>
                  <w:r>
                    <w:t>L</w:t>
                  </w:r>
                  <w:r>
                    <w:rPr>
                      <w:rFonts w:hint="eastAsia"/>
                    </w:rPr>
                    <w:t>=</w:t>
                  </w:r>
                  <w:r>
                    <w:t xml:space="preserve"> 186.93</w:t>
                  </w:r>
                  <w:r>
                    <w:rPr>
                      <w:rFonts w:hint="eastAsia"/>
                    </w:rPr>
                    <w:t xml:space="preserve"> m</w:t>
                  </w:r>
                </w:p>
              </w:tc>
              <w:tc>
                <w:tcPr>
                  <w:tcW w:w="913" w:type="dxa"/>
                  <w:vAlign w:val="center"/>
                </w:tcPr>
                <w:p>
                  <w:pPr>
                    <w:jc w:val="center"/>
                  </w:pPr>
                  <w:r>
                    <w:t>H</w:t>
                  </w:r>
                  <w:r>
                    <w:rPr>
                      <w:rFonts w:hint="eastAsia"/>
                    </w:rPr>
                    <w:t>=2.2m</w:t>
                  </w:r>
                </w:p>
              </w:tc>
              <w:tc>
                <w:tcPr>
                  <w:tcW w:w="1372" w:type="dxa"/>
                  <w:vAlign w:val="center"/>
                </w:tcPr>
                <w:p>
                  <w:pPr>
                    <w:jc w:val="center"/>
                  </w:pPr>
                  <w:r>
                    <w:rPr>
                      <w:rFonts w:hint="eastAsia"/>
                    </w:rPr>
                    <w:t>实体围墙</w:t>
                  </w:r>
                </w:p>
              </w:tc>
              <w:tc>
                <w:tcPr>
                  <w:tcW w:w="1102" w:type="dxa"/>
                  <w:vAlign w:val="center"/>
                </w:tcPr>
                <w:p>
                  <w:pPr>
                    <w:jc w:val="center"/>
                  </w:pPr>
                  <w:r>
                    <w:rPr>
                      <w:rFonts w:hint="eastAsia"/>
                    </w:rPr>
                    <w:t>—</w:t>
                  </w:r>
                </w:p>
              </w:tc>
              <w:tc>
                <w:tcPr>
                  <w:tcW w:w="1766" w:type="dxa"/>
                  <w:vAlign w:val="center"/>
                </w:tcPr>
                <w:p>
                  <w:pPr>
                    <w:jc w:val="center"/>
                  </w:pPr>
                  <w:r>
                    <w:rPr>
                      <w:rFonts w:hint="eastAsia"/>
                    </w:rPr>
                    <w:t>新建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rPr>
                      <w:rFonts w:hint="eastAsia"/>
                    </w:rPr>
                    <w:t>6</w:t>
                  </w:r>
                </w:p>
              </w:tc>
              <w:tc>
                <w:tcPr>
                  <w:tcW w:w="1085" w:type="dxa"/>
                  <w:vAlign w:val="center"/>
                </w:tcPr>
                <w:p>
                  <w:pPr>
                    <w:spacing w:line="300" w:lineRule="auto"/>
                    <w:jc w:val="center"/>
                    <w:rPr>
                      <w:rFonts w:ascii="Times New Roman" w:hAnsi="Times New Roman"/>
                      <w:szCs w:val="21"/>
                    </w:rPr>
                  </w:pPr>
                  <w:r>
                    <w:rPr>
                      <w:rFonts w:hint="eastAsia" w:ascii="Times New Roman" w:hAnsi="Times New Roman"/>
                      <w:szCs w:val="21"/>
                    </w:rPr>
                    <w:t>综合业务用房</w:t>
                  </w:r>
                </w:p>
              </w:tc>
              <w:tc>
                <w:tcPr>
                  <w:tcW w:w="896" w:type="dxa"/>
                  <w:vAlign w:val="center"/>
                </w:tcPr>
                <w:p>
                  <w:pPr>
                    <w:jc w:val="center"/>
                  </w:pPr>
                  <w:r>
                    <w:rPr>
                      <w:rFonts w:hint="eastAsia"/>
                    </w:rPr>
                    <w:t>-</w:t>
                  </w:r>
                </w:p>
              </w:tc>
              <w:tc>
                <w:tcPr>
                  <w:tcW w:w="1372" w:type="dxa"/>
                  <w:vAlign w:val="center"/>
                </w:tcPr>
                <w:p>
                  <w:pPr>
                    <w:jc w:val="center"/>
                  </w:pPr>
                  <w:r>
                    <w:rPr>
                      <w:rFonts w:hint="eastAsia"/>
                    </w:rPr>
                    <w:t>594.3</w:t>
                  </w:r>
                </w:p>
              </w:tc>
              <w:tc>
                <w:tcPr>
                  <w:tcW w:w="913" w:type="dxa"/>
                  <w:vAlign w:val="center"/>
                </w:tcPr>
                <w:p>
                  <w:pPr>
                    <w:jc w:val="center"/>
                  </w:pPr>
                  <w:r>
                    <w:rPr>
                      <w:rFonts w:hint="eastAsia"/>
                    </w:rPr>
                    <w:t>二层</w:t>
                  </w:r>
                </w:p>
              </w:tc>
              <w:tc>
                <w:tcPr>
                  <w:tcW w:w="1372" w:type="dxa"/>
                  <w:vAlign w:val="center"/>
                </w:tcPr>
                <w:p>
                  <w:pPr>
                    <w:jc w:val="center"/>
                  </w:pPr>
                  <w:r>
                    <w:rPr>
                      <w:rFonts w:hint="eastAsia"/>
                    </w:rPr>
                    <w:t>砖混</w:t>
                  </w:r>
                </w:p>
              </w:tc>
              <w:tc>
                <w:tcPr>
                  <w:tcW w:w="1102" w:type="dxa"/>
                  <w:vAlign w:val="center"/>
                </w:tcPr>
                <w:p>
                  <w:pPr>
                    <w:jc w:val="center"/>
                  </w:pPr>
                  <w:r>
                    <w:rPr>
                      <w:rFonts w:hint="eastAsia"/>
                    </w:rPr>
                    <w:t>二级</w:t>
                  </w:r>
                </w:p>
              </w:tc>
              <w:tc>
                <w:tcPr>
                  <w:tcW w:w="1766" w:type="dxa"/>
                  <w:vAlign w:val="center"/>
                </w:tcPr>
                <w:p>
                  <w:pPr>
                    <w:jc w:val="center"/>
                  </w:pPr>
                  <w:r>
                    <w:rPr>
                      <w:rFonts w:hint="eastAsia"/>
                    </w:rPr>
                    <w:t>新建；</w:t>
                  </w:r>
                </w:p>
                <w:p>
                  <w:pPr>
                    <w:jc w:val="center"/>
                  </w:pPr>
                  <w:r>
                    <w:rPr>
                      <w:rFonts w:hint="eastAsia"/>
                    </w:rPr>
                    <w:t>二期工程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6" w:type="dxa"/>
                  <w:vAlign w:val="center"/>
                </w:tcPr>
                <w:p>
                  <w:pPr>
                    <w:jc w:val="center"/>
                  </w:pPr>
                  <w:r>
                    <w:rPr>
                      <w:rFonts w:hint="eastAsia"/>
                    </w:rPr>
                    <w:t>7</w:t>
                  </w:r>
                </w:p>
              </w:tc>
              <w:tc>
                <w:tcPr>
                  <w:tcW w:w="1085" w:type="dxa"/>
                  <w:vAlign w:val="center"/>
                </w:tcPr>
                <w:p>
                  <w:pPr>
                    <w:spacing w:line="300" w:lineRule="auto"/>
                    <w:jc w:val="center"/>
                    <w:rPr>
                      <w:rFonts w:ascii="Times New Roman" w:hAnsi="Times New Roman"/>
                      <w:szCs w:val="21"/>
                    </w:rPr>
                  </w:pPr>
                  <w:r>
                    <w:rPr>
                      <w:rFonts w:hint="eastAsia" w:ascii="Times New Roman" w:hAnsi="Times New Roman"/>
                      <w:szCs w:val="21"/>
                    </w:rPr>
                    <w:t>车库</w:t>
                  </w:r>
                </w:p>
              </w:tc>
              <w:tc>
                <w:tcPr>
                  <w:tcW w:w="896" w:type="dxa"/>
                  <w:vAlign w:val="center"/>
                </w:tcPr>
                <w:p>
                  <w:pPr>
                    <w:jc w:val="center"/>
                  </w:pPr>
                  <w:r>
                    <w:rPr>
                      <w:rFonts w:hint="eastAsia"/>
                    </w:rPr>
                    <w:t>-</w:t>
                  </w:r>
                </w:p>
              </w:tc>
              <w:tc>
                <w:tcPr>
                  <w:tcW w:w="1372" w:type="dxa"/>
                  <w:vAlign w:val="center"/>
                </w:tcPr>
                <w:p>
                  <w:pPr>
                    <w:jc w:val="center"/>
                  </w:pPr>
                  <w:r>
                    <w:rPr>
                      <w:rFonts w:hint="eastAsia"/>
                    </w:rPr>
                    <w:t>272.52</w:t>
                  </w:r>
                </w:p>
              </w:tc>
              <w:tc>
                <w:tcPr>
                  <w:tcW w:w="913" w:type="dxa"/>
                  <w:vAlign w:val="center"/>
                </w:tcPr>
                <w:p>
                  <w:pPr>
                    <w:jc w:val="center"/>
                  </w:pPr>
                  <w:r>
                    <w:rPr>
                      <w:rFonts w:hint="eastAsia"/>
                    </w:rPr>
                    <w:t>一层</w:t>
                  </w:r>
                </w:p>
              </w:tc>
              <w:tc>
                <w:tcPr>
                  <w:tcW w:w="1372" w:type="dxa"/>
                  <w:vAlign w:val="center"/>
                </w:tcPr>
                <w:p>
                  <w:pPr>
                    <w:jc w:val="center"/>
                  </w:pPr>
                  <w:r>
                    <w:rPr>
                      <w:rFonts w:hint="eastAsia"/>
                    </w:rPr>
                    <w:t>砖混</w:t>
                  </w:r>
                </w:p>
              </w:tc>
              <w:tc>
                <w:tcPr>
                  <w:tcW w:w="1102" w:type="dxa"/>
                  <w:vAlign w:val="center"/>
                </w:tcPr>
                <w:p>
                  <w:pPr>
                    <w:jc w:val="center"/>
                  </w:pPr>
                  <w:r>
                    <w:rPr>
                      <w:rFonts w:hint="eastAsia"/>
                    </w:rPr>
                    <w:t>二级</w:t>
                  </w:r>
                </w:p>
              </w:tc>
              <w:tc>
                <w:tcPr>
                  <w:tcW w:w="1766" w:type="dxa"/>
                  <w:vAlign w:val="center"/>
                </w:tcPr>
                <w:p>
                  <w:pPr>
                    <w:jc w:val="center"/>
                  </w:pPr>
                  <w:r>
                    <w:rPr>
                      <w:rFonts w:hint="eastAsia"/>
                    </w:rPr>
                    <w:t>新建；</w:t>
                  </w:r>
                </w:p>
                <w:p>
                  <w:pPr>
                    <w:jc w:val="center"/>
                  </w:pPr>
                  <w:r>
                    <w:rPr>
                      <w:rFonts w:hint="eastAsia"/>
                    </w:rPr>
                    <w:t>二期工程</w:t>
                  </w:r>
                </w:p>
              </w:tc>
            </w:tr>
          </w:tbl>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4 主要生产设备</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项目主要设备见下表。</w:t>
            </w:r>
          </w:p>
          <w:p>
            <w:pPr>
              <w:spacing w:line="360" w:lineRule="auto"/>
              <w:jc w:val="center"/>
              <w:rPr>
                <w:rFonts w:ascii="Times New Roman" w:hAnsi="Times New Roman"/>
                <w:b/>
                <w:sz w:val="24"/>
                <w:szCs w:val="24"/>
              </w:rPr>
            </w:pPr>
            <w:r>
              <w:rPr>
                <w:rFonts w:ascii="Times New Roman" w:hAnsi="Times New Roman"/>
                <w:b/>
                <w:sz w:val="24"/>
                <w:szCs w:val="24"/>
              </w:rPr>
              <w:t>表4    加油站主要设备一览表</w:t>
            </w:r>
          </w:p>
          <w:tbl>
            <w:tblPr>
              <w:tblStyle w:val="2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1941"/>
              <w:gridCol w:w="992"/>
              <w:gridCol w:w="851"/>
              <w:gridCol w:w="1417"/>
              <w:gridCol w:w="33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t>序号</w:t>
                  </w:r>
                </w:p>
              </w:tc>
              <w:tc>
                <w:tcPr>
                  <w:tcW w:w="1941" w:type="dxa"/>
                  <w:vAlign w:val="center"/>
                </w:tcPr>
                <w:p>
                  <w:pPr>
                    <w:jc w:val="center"/>
                  </w:pPr>
                  <w:r>
                    <w:t>设备名称</w:t>
                  </w:r>
                </w:p>
              </w:tc>
              <w:tc>
                <w:tcPr>
                  <w:tcW w:w="992" w:type="dxa"/>
                  <w:vAlign w:val="center"/>
                </w:tcPr>
                <w:p>
                  <w:pPr>
                    <w:jc w:val="center"/>
                  </w:pPr>
                  <w:r>
                    <w:t>单位</w:t>
                  </w:r>
                </w:p>
              </w:tc>
              <w:tc>
                <w:tcPr>
                  <w:tcW w:w="851" w:type="dxa"/>
                  <w:vAlign w:val="center"/>
                </w:tcPr>
                <w:p>
                  <w:pPr>
                    <w:jc w:val="center"/>
                  </w:pPr>
                  <w:r>
                    <w:t>数量</w:t>
                  </w:r>
                </w:p>
              </w:tc>
              <w:tc>
                <w:tcPr>
                  <w:tcW w:w="1417" w:type="dxa"/>
                  <w:vAlign w:val="center"/>
                </w:tcPr>
                <w:p>
                  <w:pPr>
                    <w:jc w:val="center"/>
                  </w:pPr>
                  <w:r>
                    <w:t>规格型号</w:t>
                  </w:r>
                </w:p>
              </w:tc>
              <w:tc>
                <w:tcPr>
                  <w:tcW w:w="3310" w:type="dxa"/>
                  <w:vAlign w:val="center"/>
                </w:tcPr>
                <w:p>
                  <w:pPr>
                    <w:jc w:val="center"/>
                  </w:pPr>
                  <w:r>
                    <w:rPr>
                      <w:rFonts w:hint="eastAsia"/>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t>1</w:t>
                  </w:r>
                </w:p>
              </w:tc>
              <w:tc>
                <w:tcPr>
                  <w:tcW w:w="1941" w:type="dxa"/>
                  <w:vAlign w:val="center"/>
                </w:tcPr>
                <w:p>
                  <w:pPr>
                    <w:jc w:val="center"/>
                  </w:pPr>
                  <w:r>
                    <w:t>汽油储罐</w:t>
                  </w:r>
                </w:p>
              </w:tc>
              <w:tc>
                <w:tcPr>
                  <w:tcW w:w="992" w:type="dxa"/>
                  <w:vAlign w:val="center"/>
                </w:tcPr>
                <w:p>
                  <w:pPr>
                    <w:jc w:val="center"/>
                  </w:pPr>
                  <w:r>
                    <w:t>个</w:t>
                  </w:r>
                </w:p>
              </w:tc>
              <w:tc>
                <w:tcPr>
                  <w:tcW w:w="851" w:type="dxa"/>
                  <w:vAlign w:val="center"/>
                </w:tcPr>
                <w:p>
                  <w:pPr>
                    <w:jc w:val="center"/>
                    <w:rPr>
                      <w:highlight w:val="yellow"/>
                    </w:rPr>
                  </w:pPr>
                  <w:r>
                    <w:rPr>
                      <w:rFonts w:hint="eastAsia"/>
                    </w:rPr>
                    <w:t>2</w:t>
                  </w:r>
                </w:p>
              </w:tc>
              <w:tc>
                <w:tcPr>
                  <w:tcW w:w="1417" w:type="dxa"/>
                  <w:vAlign w:val="center"/>
                </w:tcPr>
                <w:p>
                  <w:pPr>
                    <w:jc w:val="center"/>
                    <w:rPr>
                      <w:highlight w:val="yellow"/>
                    </w:rPr>
                  </w:pPr>
                  <w:r>
                    <w:rPr>
                      <w:rFonts w:hint="eastAsia"/>
                    </w:rPr>
                    <w:t>25m</w:t>
                  </w:r>
                  <w:r>
                    <w:rPr>
                      <w:rFonts w:hint="eastAsia"/>
                      <w:vertAlign w:val="superscript"/>
                    </w:rPr>
                    <w:t>3</w:t>
                  </w:r>
                  <w:r>
                    <w:rPr>
                      <w:rFonts w:hint="eastAsia"/>
                    </w:rPr>
                    <w:t>；50m</w:t>
                  </w:r>
                  <w:r>
                    <w:rPr>
                      <w:rFonts w:hint="eastAsia"/>
                      <w:vertAlign w:val="superscript"/>
                    </w:rPr>
                    <w:t>3</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t>2</w:t>
                  </w:r>
                </w:p>
              </w:tc>
              <w:tc>
                <w:tcPr>
                  <w:tcW w:w="1941" w:type="dxa"/>
                  <w:vAlign w:val="center"/>
                </w:tcPr>
                <w:p>
                  <w:pPr>
                    <w:jc w:val="center"/>
                  </w:pPr>
                  <w:r>
                    <w:t>柴油储罐</w:t>
                  </w:r>
                </w:p>
              </w:tc>
              <w:tc>
                <w:tcPr>
                  <w:tcW w:w="992" w:type="dxa"/>
                  <w:vAlign w:val="center"/>
                </w:tcPr>
                <w:p>
                  <w:pPr>
                    <w:jc w:val="center"/>
                  </w:pPr>
                  <w:r>
                    <w:t>个</w:t>
                  </w:r>
                </w:p>
              </w:tc>
              <w:tc>
                <w:tcPr>
                  <w:tcW w:w="851" w:type="dxa"/>
                  <w:vAlign w:val="center"/>
                </w:tcPr>
                <w:p>
                  <w:pPr>
                    <w:jc w:val="center"/>
                    <w:rPr>
                      <w:highlight w:val="yellow"/>
                    </w:rPr>
                  </w:pPr>
                  <w:r>
                    <w:rPr>
                      <w:rFonts w:hint="eastAsia"/>
                    </w:rPr>
                    <w:t>3</w:t>
                  </w:r>
                </w:p>
              </w:tc>
              <w:tc>
                <w:tcPr>
                  <w:tcW w:w="1417" w:type="dxa"/>
                  <w:vAlign w:val="center"/>
                </w:tcPr>
                <w:p>
                  <w:pPr>
                    <w:jc w:val="center"/>
                    <w:rPr>
                      <w:highlight w:val="yellow"/>
                    </w:rPr>
                  </w:pPr>
                  <w:r>
                    <w:rPr>
                      <w:rFonts w:hint="eastAsia"/>
                    </w:rPr>
                    <w:t>50m</w:t>
                  </w:r>
                  <w:r>
                    <w:rPr>
                      <w:rFonts w:hint="eastAsia"/>
                      <w:vertAlign w:val="superscript"/>
                    </w:rPr>
                    <w:t>3</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t>3</w:t>
                  </w:r>
                </w:p>
              </w:tc>
              <w:tc>
                <w:tcPr>
                  <w:tcW w:w="1941" w:type="dxa"/>
                  <w:vAlign w:val="center"/>
                </w:tcPr>
                <w:p>
                  <w:pPr>
                    <w:jc w:val="center"/>
                    <w:rPr>
                      <w:highlight w:val="yellow"/>
                    </w:rPr>
                  </w:pPr>
                  <w:r>
                    <w:rPr>
                      <w:rFonts w:hint="eastAsia"/>
                    </w:rPr>
                    <w:t>双油品</w:t>
                  </w:r>
                  <w:r>
                    <w:t>加油机</w:t>
                  </w:r>
                </w:p>
              </w:tc>
              <w:tc>
                <w:tcPr>
                  <w:tcW w:w="992" w:type="dxa"/>
                  <w:vAlign w:val="center"/>
                </w:tcPr>
                <w:p>
                  <w:pPr>
                    <w:jc w:val="center"/>
                  </w:pPr>
                  <w:r>
                    <w:t>台</w:t>
                  </w:r>
                </w:p>
              </w:tc>
              <w:tc>
                <w:tcPr>
                  <w:tcW w:w="851" w:type="dxa"/>
                  <w:vAlign w:val="center"/>
                </w:tcPr>
                <w:p>
                  <w:pPr>
                    <w:jc w:val="center"/>
                    <w:rPr>
                      <w:highlight w:val="yellow"/>
                    </w:rPr>
                  </w:pPr>
                  <w:r>
                    <w:rPr>
                      <w:rFonts w:hint="eastAsia"/>
                    </w:rPr>
                    <w:t>4</w:t>
                  </w:r>
                </w:p>
              </w:tc>
              <w:tc>
                <w:tcPr>
                  <w:tcW w:w="1417" w:type="dxa"/>
                  <w:vAlign w:val="center"/>
                </w:tcPr>
                <w:p>
                  <w:pPr>
                    <w:jc w:val="center"/>
                  </w:pPr>
                </w:p>
              </w:tc>
              <w:tc>
                <w:tcPr>
                  <w:tcW w:w="3310" w:type="dxa"/>
                  <w:vAlign w:val="center"/>
                </w:tcPr>
                <w:p>
                  <w:pPr>
                    <w:jc w:val="center"/>
                  </w:pPr>
                  <w:r>
                    <w:rPr>
                      <w:rFonts w:hint="eastAsia"/>
                    </w:rPr>
                    <w:t>2台柴油加油机及2台汽油加油机，汽油加油机带有分散式加油油气回收装置。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4</w:t>
                  </w:r>
                </w:p>
              </w:tc>
              <w:tc>
                <w:tcPr>
                  <w:tcW w:w="1941" w:type="dxa"/>
                  <w:vAlign w:val="center"/>
                </w:tcPr>
                <w:p>
                  <w:pPr>
                    <w:jc w:val="center"/>
                  </w:pPr>
                  <w:r>
                    <w:rPr>
                      <w:rFonts w:hint="eastAsia"/>
                    </w:rPr>
                    <w:t>高液位报警液位仪</w:t>
                  </w:r>
                </w:p>
              </w:tc>
              <w:tc>
                <w:tcPr>
                  <w:tcW w:w="992" w:type="dxa"/>
                  <w:vAlign w:val="center"/>
                </w:tcPr>
                <w:p>
                  <w:pPr>
                    <w:jc w:val="center"/>
                  </w:pPr>
                  <w:r>
                    <w:rPr>
                      <w:rFonts w:hint="eastAsia"/>
                    </w:rPr>
                    <w:t>套</w:t>
                  </w:r>
                </w:p>
              </w:tc>
              <w:tc>
                <w:tcPr>
                  <w:tcW w:w="851" w:type="dxa"/>
                  <w:vAlign w:val="center"/>
                </w:tcPr>
                <w:p>
                  <w:pPr>
                    <w:jc w:val="center"/>
                  </w:pPr>
                  <w:r>
                    <w:rPr>
                      <w:rFonts w:hint="eastAsia"/>
                    </w:rPr>
                    <w:t>5</w:t>
                  </w:r>
                </w:p>
              </w:tc>
              <w:tc>
                <w:tcPr>
                  <w:tcW w:w="1417" w:type="dxa"/>
                  <w:vAlign w:val="center"/>
                </w:tcPr>
                <w:p>
                  <w:pPr>
                    <w:jc w:val="center"/>
                  </w:pPr>
                  <w:r>
                    <w:rPr>
                      <w:rFonts w:hint="eastAsia"/>
                    </w:rPr>
                    <w:t>—</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5</w:t>
                  </w:r>
                </w:p>
              </w:tc>
              <w:tc>
                <w:tcPr>
                  <w:tcW w:w="1941" w:type="dxa"/>
                  <w:vAlign w:val="center"/>
                </w:tcPr>
                <w:p>
                  <w:pPr>
                    <w:jc w:val="center"/>
                  </w:pPr>
                  <w:r>
                    <w:t>高液位声光报警器</w:t>
                  </w:r>
                </w:p>
              </w:tc>
              <w:tc>
                <w:tcPr>
                  <w:tcW w:w="992" w:type="dxa"/>
                  <w:vAlign w:val="center"/>
                </w:tcPr>
                <w:p>
                  <w:pPr>
                    <w:jc w:val="center"/>
                  </w:pPr>
                  <w:r>
                    <w:rPr>
                      <w:rFonts w:hint="eastAsia"/>
                    </w:rPr>
                    <w:t>个</w:t>
                  </w:r>
                </w:p>
              </w:tc>
              <w:tc>
                <w:tcPr>
                  <w:tcW w:w="851" w:type="dxa"/>
                  <w:vAlign w:val="center"/>
                </w:tcPr>
                <w:p>
                  <w:pPr>
                    <w:jc w:val="center"/>
                  </w:pPr>
                  <w:r>
                    <w:rPr>
                      <w:rFonts w:hint="eastAsia"/>
                    </w:rPr>
                    <w:t>1</w:t>
                  </w:r>
                </w:p>
              </w:tc>
              <w:tc>
                <w:tcPr>
                  <w:tcW w:w="1417" w:type="dxa"/>
                  <w:vAlign w:val="center"/>
                </w:tcPr>
                <w:p>
                  <w:pPr>
                    <w:jc w:val="center"/>
                  </w:pPr>
                  <w:r>
                    <w:rPr>
                      <w:rFonts w:hint="eastAsia"/>
                    </w:rPr>
                    <w:t>—</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6</w:t>
                  </w:r>
                </w:p>
              </w:tc>
              <w:tc>
                <w:tcPr>
                  <w:tcW w:w="1941" w:type="dxa"/>
                  <w:vAlign w:val="center"/>
                </w:tcPr>
                <w:p>
                  <w:pPr>
                    <w:jc w:val="center"/>
                  </w:pPr>
                  <w:r>
                    <w:rPr>
                      <w:rFonts w:hint="eastAsia"/>
                    </w:rPr>
                    <w:t>油气回收系统</w:t>
                  </w:r>
                </w:p>
              </w:tc>
              <w:tc>
                <w:tcPr>
                  <w:tcW w:w="992" w:type="dxa"/>
                  <w:vAlign w:val="center"/>
                </w:tcPr>
                <w:p>
                  <w:pPr>
                    <w:jc w:val="center"/>
                  </w:pPr>
                  <w:r>
                    <w:rPr>
                      <w:rFonts w:hint="eastAsia"/>
                    </w:rPr>
                    <w:t>套</w:t>
                  </w:r>
                </w:p>
              </w:tc>
              <w:tc>
                <w:tcPr>
                  <w:tcW w:w="851" w:type="dxa"/>
                  <w:vAlign w:val="center"/>
                </w:tcPr>
                <w:p>
                  <w:pPr>
                    <w:jc w:val="center"/>
                  </w:pPr>
                  <w:r>
                    <w:rPr>
                      <w:rFonts w:hint="eastAsia"/>
                    </w:rPr>
                    <w:t>1</w:t>
                  </w:r>
                </w:p>
              </w:tc>
              <w:tc>
                <w:tcPr>
                  <w:tcW w:w="1417" w:type="dxa"/>
                  <w:vAlign w:val="center"/>
                </w:tcPr>
                <w:p>
                  <w:pPr>
                    <w:jc w:val="center"/>
                  </w:pPr>
                </w:p>
              </w:tc>
              <w:tc>
                <w:tcPr>
                  <w:tcW w:w="3310" w:type="dxa"/>
                  <w:vAlign w:val="center"/>
                </w:tcPr>
                <w:p>
                  <w:pPr>
                    <w:jc w:val="center"/>
                  </w:pPr>
                  <w:r>
                    <w:rPr>
                      <w:rFonts w:hint="eastAsia"/>
                    </w:rPr>
                    <w:t>罐区及加油机分别设有卸油油气回收、分散式加油油气回收装置，对汽油卸油加油工段产生的油气进行回收；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7</w:t>
                  </w:r>
                </w:p>
              </w:tc>
              <w:tc>
                <w:tcPr>
                  <w:tcW w:w="1941" w:type="dxa"/>
                  <w:vAlign w:val="center"/>
                </w:tcPr>
                <w:p>
                  <w:pPr>
                    <w:jc w:val="center"/>
                  </w:pPr>
                  <w:r>
                    <w:t>带锁量油</w:t>
                  </w:r>
                  <w:r>
                    <w:rPr>
                      <w:rFonts w:hint="eastAsia"/>
                    </w:rPr>
                    <w:t>器</w:t>
                  </w:r>
                </w:p>
              </w:tc>
              <w:tc>
                <w:tcPr>
                  <w:tcW w:w="992" w:type="dxa"/>
                  <w:vAlign w:val="center"/>
                </w:tcPr>
                <w:p>
                  <w:pPr>
                    <w:jc w:val="center"/>
                  </w:pPr>
                  <w:r>
                    <w:t>个</w:t>
                  </w:r>
                </w:p>
              </w:tc>
              <w:tc>
                <w:tcPr>
                  <w:tcW w:w="851" w:type="dxa"/>
                  <w:vAlign w:val="center"/>
                </w:tcPr>
                <w:p>
                  <w:pPr>
                    <w:jc w:val="center"/>
                  </w:pPr>
                  <w:r>
                    <w:rPr>
                      <w:rFonts w:hint="eastAsia"/>
                    </w:rPr>
                    <w:t>5</w:t>
                  </w:r>
                </w:p>
              </w:tc>
              <w:tc>
                <w:tcPr>
                  <w:tcW w:w="1417" w:type="dxa"/>
                  <w:vAlign w:val="center"/>
                </w:tcPr>
                <w:p>
                  <w:pPr>
                    <w:jc w:val="center"/>
                  </w:pPr>
                  <w:r>
                    <w:t>DN100</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8</w:t>
                  </w:r>
                </w:p>
              </w:tc>
              <w:tc>
                <w:tcPr>
                  <w:tcW w:w="1941" w:type="dxa"/>
                  <w:vAlign w:val="center"/>
                </w:tcPr>
                <w:p>
                  <w:pPr>
                    <w:jc w:val="center"/>
                  </w:pPr>
                  <w:r>
                    <w:rPr>
                      <w:rFonts w:hint="eastAsia"/>
                    </w:rPr>
                    <w:t>拉断阀</w:t>
                  </w:r>
                </w:p>
              </w:tc>
              <w:tc>
                <w:tcPr>
                  <w:tcW w:w="992" w:type="dxa"/>
                  <w:vAlign w:val="center"/>
                </w:tcPr>
                <w:p>
                  <w:pPr>
                    <w:jc w:val="center"/>
                  </w:pPr>
                  <w:r>
                    <w:rPr>
                      <w:rFonts w:hint="eastAsia"/>
                    </w:rPr>
                    <w:t>个</w:t>
                  </w:r>
                </w:p>
              </w:tc>
              <w:tc>
                <w:tcPr>
                  <w:tcW w:w="851" w:type="dxa"/>
                  <w:vAlign w:val="center"/>
                </w:tcPr>
                <w:p>
                  <w:pPr>
                    <w:jc w:val="center"/>
                  </w:pPr>
                  <w:r>
                    <w:rPr>
                      <w:rFonts w:hint="eastAsia"/>
                    </w:rPr>
                    <w:t>5</w:t>
                  </w:r>
                </w:p>
              </w:tc>
              <w:tc>
                <w:tcPr>
                  <w:tcW w:w="1417" w:type="dxa"/>
                  <w:vAlign w:val="center"/>
                </w:tcPr>
                <w:p>
                  <w:pPr>
                    <w:jc w:val="center"/>
                  </w:pPr>
                  <w:r>
                    <w:rPr>
                      <w:rFonts w:hint="eastAsia"/>
                    </w:rPr>
                    <w:t>—</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9</w:t>
                  </w:r>
                </w:p>
              </w:tc>
              <w:tc>
                <w:tcPr>
                  <w:tcW w:w="1941" w:type="dxa"/>
                  <w:vAlign w:val="center"/>
                </w:tcPr>
                <w:p>
                  <w:pPr>
                    <w:jc w:val="center"/>
                  </w:pPr>
                  <w:r>
                    <w:rPr>
                      <w:rFonts w:hint="eastAsia"/>
                    </w:rPr>
                    <w:t>通气管</w:t>
                  </w:r>
                </w:p>
              </w:tc>
              <w:tc>
                <w:tcPr>
                  <w:tcW w:w="992" w:type="dxa"/>
                  <w:vAlign w:val="center"/>
                </w:tcPr>
                <w:p>
                  <w:pPr>
                    <w:jc w:val="center"/>
                  </w:pPr>
                  <w:r>
                    <w:rPr>
                      <w:rFonts w:hint="eastAsia"/>
                    </w:rPr>
                    <w:t>个</w:t>
                  </w:r>
                </w:p>
              </w:tc>
              <w:tc>
                <w:tcPr>
                  <w:tcW w:w="851" w:type="dxa"/>
                  <w:vAlign w:val="center"/>
                </w:tcPr>
                <w:p>
                  <w:pPr>
                    <w:jc w:val="center"/>
                  </w:pPr>
                  <w:r>
                    <w:rPr>
                      <w:rFonts w:hint="eastAsia"/>
                    </w:rPr>
                    <w:t>5</w:t>
                  </w:r>
                </w:p>
              </w:tc>
              <w:tc>
                <w:tcPr>
                  <w:tcW w:w="1417" w:type="dxa"/>
                  <w:vAlign w:val="center"/>
                </w:tcPr>
                <w:p>
                  <w:pPr>
                    <w:jc w:val="center"/>
                  </w:pPr>
                  <w:r>
                    <w:t>DN50</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10</w:t>
                  </w:r>
                </w:p>
              </w:tc>
              <w:tc>
                <w:tcPr>
                  <w:tcW w:w="1941" w:type="dxa"/>
                  <w:vAlign w:val="center"/>
                </w:tcPr>
                <w:p>
                  <w:pPr>
                    <w:jc w:val="center"/>
                  </w:pPr>
                  <w:r>
                    <w:rPr>
                      <w:rFonts w:hint="eastAsia"/>
                    </w:rPr>
                    <w:t>防雨型</w:t>
                  </w:r>
                  <w:r>
                    <w:t>阻火</w:t>
                  </w:r>
                  <w:r>
                    <w:rPr>
                      <w:rFonts w:hint="eastAsia"/>
                    </w:rPr>
                    <w:t>器</w:t>
                  </w:r>
                </w:p>
              </w:tc>
              <w:tc>
                <w:tcPr>
                  <w:tcW w:w="992" w:type="dxa"/>
                  <w:vAlign w:val="center"/>
                </w:tcPr>
                <w:p>
                  <w:pPr>
                    <w:jc w:val="center"/>
                  </w:pPr>
                  <w:r>
                    <w:t>个</w:t>
                  </w:r>
                </w:p>
              </w:tc>
              <w:tc>
                <w:tcPr>
                  <w:tcW w:w="851" w:type="dxa"/>
                  <w:vAlign w:val="center"/>
                </w:tcPr>
                <w:p>
                  <w:pPr>
                    <w:jc w:val="center"/>
                  </w:pPr>
                  <w:r>
                    <w:rPr>
                      <w:rFonts w:hint="eastAsia"/>
                    </w:rPr>
                    <w:t>5</w:t>
                  </w:r>
                </w:p>
              </w:tc>
              <w:tc>
                <w:tcPr>
                  <w:tcW w:w="1417" w:type="dxa"/>
                  <w:vAlign w:val="center"/>
                </w:tcPr>
                <w:p>
                  <w:pPr>
                    <w:jc w:val="center"/>
                  </w:pPr>
                  <w:r>
                    <w:t>DN50</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11</w:t>
                  </w:r>
                </w:p>
              </w:tc>
              <w:tc>
                <w:tcPr>
                  <w:tcW w:w="1941" w:type="dxa"/>
                  <w:vAlign w:val="center"/>
                </w:tcPr>
                <w:p>
                  <w:pPr>
                    <w:jc w:val="center"/>
                  </w:pPr>
                  <w:r>
                    <w:rPr>
                      <w:rFonts w:hint="eastAsia"/>
                    </w:rPr>
                    <w:t>卸油防溢阀</w:t>
                  </w:r>
                </w:p>
              </w:tc>
              <w:tc>
                <w:tcPr>
                  <w:tcW w:w="992" w:type="dxa"/>
                  <w:vAlign w:val="center"/>
                </w:tcPr>
                <w:p>
                  <w:pPr>
                    <w:jc w:val="center"/>
                  </w:pPr>
                  <w:r>
                    <w:t>个</w:t>
                  </w:r>
                </w:p>
              </w:tc>
              <w:tc>
                <w:tcPr>
                  <w:tcW w:w="851" w:type="dxa"/>
                  <w:vAlign w:val="center"/>
                </w:tcPr>
                <w:p>
                  <w:pPr>
                    <w:jc w:val="center"/>
                  </w:pPr>
                  <w:r>
                    <w:rPr>
                      <w:rFonts w:hint="eastAsia"/>
                    </w:rPr>
                    <w:t>5</w:t>
                  </w:r>
                </w:p>
              </w:tc>
              <w:tc>
                <w:tcPr>
                  <w:tcW w:w="1417" w:type="dxa"/>
                  <w:vAlign w:val="center"/>
                </w:tcPr>
                <w:p>
                  <w:pPr>
                    <w:jc w:val="center"/>
                  </w:pPr>
                  <w:r>
                    <w:t>DN100</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12</w:t>
                  </w:r>
                </w:p>
              </w:tc>
              <w:tc>
                <w:tcPr>
                  <w:tcW w:w="1941" w:type="dxa"/>
                  <w:vAlign w:val="center"/>
                </w:tcPr>
                <w:p>
                  <w:pPr>
                    <w:jc w:val="center"/>
                  </w:pPr>
                  <w:r>
                    <w:rPr>
                      <w:rFonts w:hint="eastAsia"/>
                    </w:rPr>
                    <w:t>带阻火功能机械呼吸阀</w:t>
                  </w:r>
                </w:p>
              </w:tc>
              <w:tc>
                <w:tcPr>
                  <w:tcW w:w="992" w:type="dxa"/>
                  <w:vAlign w:val="center"/>
                </w:tcPr>
                <w:p>
                  <w:pPr>
                    <w:jc w:val="center"/>
                  </w:pPr>
                  <w:r>
                    <w:t>个</w:t>
                  </w:r>
                </w:p>
              </w:tc>
              <w:tc>
                <w:tcPr>
                  <w:tcW w:w="851" w:type="dxa"/>
                  <w:vAlign w:val="center"/>
                </w:tcPr>
                <w:p>
                  <w:pPr>
                    <w:jc w:val="center"/>
                  </w:pPr>
                  <w:r>
                    <w:rPr>
                      <w:rFonts w:hint="eastAsia"/>
                    </w:rPr>
                    <w:t>1</w:t>
                  </w:r>
                </w:p>
              </w:tc>
              <w:tc>
                <w:tcPr>
                  <w:tcW w:w="1417" w:type="dxa"/>
                  <w:vAlign w:val="center"/>
                </w:tcPr>
                <w:p>
                  <w:pPr>
                    <w:jc w:val="center"/>
                  </w:pPr>
                  <w:r>
                    <w:t>PN10  DN50</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13</w:t>
                  </w:r>
                </w:p>
              </w:tc>
              <w:tc>
                <w:tcPr>
                  <w:tcW w:w="1941" w:type="dxa"/>
                  <w:vAlign w:val="center"/>
                </w:tcPr>
                <w:p>
                  <w:pPr>
                    <w:jc w:val="center"/>
                  </w:pPr>
                  <w:r>
                    <w:t>静电接地报警仪</w:t>
                  </w:r>
                </w:p>
              </w:tc>
              <w:tc>
                <w:tcPr>
                  <w:tcW w:w="992" w:type="dxa"/>
                  <w:vAlign w:val="center"/>
                </w:tcPr>
                <w:p>
                  <w:pPr>
                    <w:jc w:val="center"/>
                  </w:pPr>
                  <w:r>
                    <w:rPr>
                      <w:rFonts w:hint="eastAsia"/>
                    </w:rPr>
                    <w:t>台</w:t>
                  </w:r>
                </w:p>
              </w:tc>
              <w:tc>
                <w:tcPr>
                  <w:tcW w:w="851" w:type="dxa"/>
                  <w:vAlign w:val="center"/>
                </w:tcPr>
                <w:p>
                  <w:pPr>
                    <w:jc w:val="center"/>
                  </w:pPr>
                  <w:r>
                    <w:rPr>
                      <w:rFonts w:hint="eastAsia"/>
                    </w:rPr>
                    <w:t>1</w:t>
                  </w:r>
                </w:p>
              </w:tc>
              <w:tc>
                <w:tcPr>
                  <w:tcW w:w="1417" w:type="dxa"/>
                  <w:vAlign w:val="center"/>
                </w:tcPr>
                <w:p>
                  <w:pPr>
                    <w:jc w:val="center"/>
                  </w:pPr>
                  <w:r>
                    <w:rPr>
                      <w:rFonts w:hint="eastAsia"/>
                    </w:rPr>
                    <w:t>—</w:t>
                  </w:r>
                </w:p>
              </w:tc>
              <w:tc>
                <w:tcPr>
                  <w:tcW w:w="3310" w:type="dxa"/>
                  <w:vAlign w:val="center"/>
                </w:tcPr>
                <w:p>
                  <w:pPr>
                    <w:jc w:val="cente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11" w:type="dxa"/>
                  <w:vAlign w:val="center"/>
                </w:tcPr>
                <w:p>
                  <w:pPr>
                    <w:jc w:val="center"/>
                  </w:pPr>
                  <w:r>
                    <w:rPr>
                      <w:rFonts w:hint="eastAsia"/>
                    </w:rPr>
                    <w:t>14</w:t>
                  </w:r>
                </w:p>
              </w:tc>
              <w:tc>
                <w:tcPr>
                  <w:tcW w:w="1941" w:type="dxa"/>
                  <w:vAlign w:val="center"/>
                </w:tcPr>
                <w:p>
                  <w:pPr>
                    <w:jc w:val="center"/>
                  </w:pPr>
                  <w:r>
                    <w:t>摄像系统</w:t>
                  </w:r>
                </w:p>
              </w:tc>
              <w:tc>
                <w:tcPr>
                  <w:tcW w:w="992" w:type="dxa"/>
                  <w:vAlign w:val="center"/>
                </w:tcPr>
                <w:p>
                  <w:pPr>
                    <w:jc w:val="center"/>
                  </w:pPr>
                  <w:r>
                    <w:rPr>
                      <w:rFonts w:hint="eastAsia"/>
                    </w:rPr>
                    <w:t>套</w:t>
                  </w:r>
                </w:p>
              </w:tc>
              <w:tc>
                <w:tcPr>
                  <w:tcW w:w="851" w:type="dxa"/>
                  <w:vAlign w:val="center"/>
                </w:tcPr>
                <w:p>
                  <w:pPr>
                    <w:jc w:val="center"/>
                  </w:pPr>
                  <w:r>
                    <w:rPr>
                      <w:rFonts w:hint="eastAsia"/>
                    </w:rPr>
                    <w:t>1</w:t>
                  </w:r>
                </w:p>
              </w:tc>
              <w:tc>
                <w:tcPr>
                  <w:tcW w:w="1417" w:type="dxa"/>
                  <w:vAlign w:val="center"/>
                </w:tcPr>
                <w:p>
                  <w:pPr>
                    <w:jc w:val="center"/>
                  </w:pPr>
                  <w:r>
                    <w:rPr>
                      <w:rFonts w:hint="eastAsia"/>
                    </w:rPr>
                    <w:t>—</w:t>
                  </w:r>
                </w:p>
              </w:tc>
              <w:tc>
                <w:tcPr>
                  <w:tcW w:w="3310" w:type="dxa"/>
                  <w:vAlign w:val="center"/>
                </w:tcPr>
                <w:p>
                  <w:pPr>
                    <w:jc w:val="center"/>
                  </w:pPr>
                </w:p>
              </w:tc>
            </w:tr>
          </w:tbl>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5 主要</w:t>
            </w:r>
            <w:r>
              <w:rPr>
                <w:rFonts w:hint="eastAsia" w:ascii="Times New Roman" w:hAnsi="Times New Roman" w:eastAsiaTheme="minorEastAsia"/>
                <w:b/>
                <w:sz w:val="28"/>
                <w:szCs w:val="28"/>
              </w:rPr>
              <w:t>产品</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本项目主要</w:t>
            </w:r>
            <w:r>
              <w:rPr>
                <w:rFonts w:hint="eastAsia" w:ascii="Times New Roman" w:hAnsi="Times New Roman" w:eastAsiaTheme="minorEastAsia"/>
                <w:sz w:val="28"/>
                <w:szCs w:val="28"/>
              </w:rPr>
              <w:t>产品情况</w:t>
            </w:r>
            <w:r>
              <w:rPr>
                <w:rFonts w:ascii="Times New Roman" w:hAnsi="Times New Roman" w:eastAsiaTheme="minorEastAsia"/>
                <w:sz w:val="28"/>
                <w:szCs w:val="28"/>
              </w:rPr>
              <w:t>见下表。</w:t>
            </w:r>
          </w:p>
          <w:p>
            <w:pPr>
              <w:spacing w:line="360" w:lineRule="auto"/>
              <w:jc w:val="center"/>
              <w:rPr>
                <w:rFonts w:ascii="Times New Roman" w:hAnsi="Times New Roman"/>
                <w:b/>
                <w:sz w:val="24"/>
                <w:szCs w:val="24"/>
              </w:rPr>
            </w:pPr>
            <w:r>
              <w:rPr>
                <w:rFonts w:ascii="Times New Roman" w:hAnsi="Times New Roman"/>
                <w:b/>
                <w:sz w:val="24"/>
                <w:szCs w:val="24"/>
              </w:rPr>
              <w:t>表5    主要</w:t>
            </w:r>
            <w:r>
              <w:rPr>
                <w:rFonts w:hint="eastAsia" w:ascii="Times New Roman" w:hAnsi="Times New Roman"/>
                <w:b/>
                <w:sz w:val="24"/>
                <w:szCs w:val="24"/>
              </w:rPr>
              <w:t>产品情况一览</w:t>
            </w:r>
            <w:r>
              <w:rPr>
                <w:rFonts w:ascii="Times New Roman" w:hAnsi="Times New Roman"/>
                <w:b/>
                <w:sz w:val="24"/>
                <w:szCs w:val="24"/>
              </w:rPr>
              <w:t>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2281"/>
              <w:gridCol w:w="2281"/>
              <w:gridCol w:w="227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0" w:type="pct"/>
                  <w:shd w:val="clear" w:color="auto" w:fill="auto"/>
                  <w:vAlign w:val="center"/>
                </w:tcPr>
                <w:p>
                  <w:pPr>
                    <w:jc w:val="center"/>
                    <w:rPr>
                      <w:rFonts w:ascii="Times New Roman" w:hAnsi="Times New Roman"/>
                      <w:szCs w:val="21"/>
                    </w:rPr>
                  </w:pPr>
                  <w:r>
                    <w:rPr>
                      <w:rFonts w:ascii="Times New Roman" w:hAnsi="Times New Roman"/>
                      <w:szCs w:val="21"/>
                    </w:rPr>
                    <w:t>名称</w:t>
                  </w:r>
                </w:p>
              </w:tc>
              <w:tc>
                <w:tcPr>
                  <w:tcW w:w="1250" w:type="pct"/>
                  <w:shd w:val="clear" w:color="auto" w:fill="auto"/>
                  <w:vAlign w:val="center"/>
                </w:tcPr>
                <w:p>
                  <w:pPr>
                    <w:jc w:val="center"/>
                    <w:rPr>
                      <w:rFonts w:ascii="Times New Roman" w:hAnsi="Times New Roman"/>
                      <w:szCs w:val="21"/>
                    </w:rPr>
                  </w:pPr>
                  <w:r>
                    <w:rPr>
                      <w:rFonts w:hint="eastAsia" w:ascii="Times New Roman" w:hAnsi="Times New Roman"/>
                      <w:szCs w:val="21"/>
                    </w:rPr>
                    <w:t>销售量</w:t>
                  </w:r>
                </w:p>
                <w:p>
                  <w:pPr>
                    <w:jc w:val="center"/>
                    <w:rPr>
                      <w:rFonts w:ascii="Times New Roman" w:hAnsi="Times New Roman"/>
                      <w:szCs w:val="21"/>
                    </w:rPr>
                  </w:pPr>
                  <w:r>
                    <w:rPr>
                      <w:rFonts w:hint="eastAsia" w:ascii="Times New Roman" w:hAnsi="Times New Roman"/>
                      <w:szCs w:val="21"/>
                    </w:rPr>
                    <w:t>（</w:t>
                  </w:r>
                  <w:r>
                    <w:rPr>
                      <w:rFonts w:ascii="Times New Roman" w:hAnsi="Times New Roman"/>
                      <w:szCs w:val="21"/>
                    </w:rPr>
                    <w:t>t/a</w:t>
                  </w:r>
                  <w:r>
                    <w:rPr>
                      <w:rFonts w:hint="eastAsia" w:ascii="Times New Roman" w:hAnsi="Times New Roman"/>
                      <w:szCs w:val="21"/>
                    </w:rPr>
                    <w:t>）</w:t>
                  </w:r>
                </w:p>
              </w:tc>
              <w:tc>
                <w:tcPr>
                  <w:tcW w:w="1250" w:type="pct"/>
                  <w:shd w:val="clear" w:color="auto" w:fill="auto"/>
                  <w:vAlign w:val="center"/>
                </w:tcPr>
                <w:p>
                  <w:pPr>
                    <w:jc w:val="center"/>
                    <w:rPr>
                      <w:rFonts w:ascii="Times New Roman" w:hAnsi="Times New Roman"/>
                      <w:szCs w:val="21"/>
                    </w:rPr>
                  </w:pPr>
                  <w:r>
                    <w:rPr>
                      <w:rFonts w:ascii="Times New Roman" w:hAnsi="Times New Roman"/>
                      <w:szCs w:val="21"/>
                    </w:rPr>
                    <w:t>最大储存量</w:t>
                  </w:r>
                </w:p>
              </w:tc>
              <w:tc>
                <w:tcPr>
                  <w:tcW w:w="1249" w:type="pct"/>
                  <w:vAlign w:val="center"/>
                </w:tcPr>
                <w:p>
                  <w:pPr>
                    <w:jc w:val="center"/>
                    <w:rPr>
                      <w:rFonts w:ascii="Times New Roman" w:hAnsi="Times New Roman"/>
                      <w:szCs w:val="21"/>
                    </w:rPr>
                  </w:pPr>
                  <w:r>
                    <w:rPr>
                      <w:rFonts w:ascii="Times New Roman" w:hAnsi="Times New Roman"/>
                      <w:szCs w:val="21"/>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0" w:type="pct"/>
                  <w:shd w:val="clear" w:color="auto" w:fill="auto"/>
                  <w:vAlign w:val="center"/>
                </w:tcPr>
                <w:p>
                  <w:pPr>
                    <w:jc w:val="center"/>
                    <w:rPr>
                      <w:rFonts w:ascii="Times New Roman" w:hAnsi="Times New Roman"/>
                      <w:szCs w:val="21"/>
                    </w:rPr>
                  </w:pPr>
                  <w:r>
                    <w:rPr>
                      <w:rFonts w:ascii="Times New Roman" w:hAnsi="Times New Roman"/>
                      <w:szCs w:val="21"/>
                    </w:rPr>
                    <w:t>汽油</w:t>
                  </w:r>
                </w:p>
              </w:tc>
              <w:tc>
                <w:tcPr>
                  <w:tcW w:w="1250" w:type="pct"/>
                  <w:shd w:val="clear" w:color="auto" w:fill="auto"/>
                  <w:vAlign w:val="center"/>
                </w:tcPr>
                <w:p>
                  <w:pPr>
                    <w:jc w:val="center"/>
                    <w:rPr>
                      <w:rFonts w:ascii="Times New Roman" w:hAnsi="Times New Roman"/>
                      <w:szCs w:val="21"/>
                    </w:rPr>
                  </w:pPr>
                  <w:r>
                    <w:rPr>
                      <w:rFonts w:hint="eastAsia" w:ascii="Times New Roman" w:hAnsi="Times New Roman"/>
                      <w:szCs w:val="21"/>
                    </w:rPr>
                    <w:t>800</w:t>
                  </w:r>
                </w:p>
              </w:tc>
              <w:tc>
                <w:tcPr>
                  <w:tcW w:w="1250" w:type="pct"/>
                  <w:shd w:val="clear" w:color="auto" w:fill="auto"/>
                  <w:vAlign w:val="center"/>
                </w:tcPr>
                <w:p>
                  <w:pPr>
                    <w:jc w:val="center"/>
                    <w:rPr>
                      <w:rFonts w:ascii="Times New Roman" w:hAnsi="Times New Roman"/>
                      <w:szCs w:val="21"/>
                    </w:rPr>
                  </w:pPr>
                  <w:r>
                    <w:rPr>
                      <w:rFonts w:hint="eastAsia" w:ascii="Times New Roman" w:hAnsi="Times New Roman"/>
                      <w:szCs w:val="21"/>
                    </w:rPr>
                    <w:t xml:space="preserve">44.34 </w:t>
                  </w:r>
                  <w:r>
                    <w:rPr>
                      <w:rFonts w:ascii="Times New Roman" w:hAnsi="Times New Roman"/>
                      <w:szCs w:val="21"/>
                    </w:rPr>
                    <w:t>t</w:t>
                  </w:r>
                </w:p>
              </w:tc>
              <w:tc>
                <w:tcPr>
                  <w:tcW w:w="1249" w:type="pct"/>
                  <w:vMerge w:val="restart"/>
                  <w:vAlign w:val="center"/>
                </w:tcPr>
                <w:p>
                  <w:pPr>
                    <w:jc w:val="center"/>
                    <w:rPr>
                      <w:rFonts w:ascii="Times New Roman" w:hAnsi="Times New Roman"/>
                      <w:szCs w:val="21"/>
                    </w:rPr>
                  </w:pPr>
                  <w:r>
                    <w:rPr>
                      <w:rFonts w:ascii="Times New Roman" w:hAnsi="Times New Roman"/>
                      <w:szCs w:val="21"/>
                    </w:rPr>
                    <w:t>按照充满度80%计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0" w:type="pct"/>
                  <w:shd w:val="clear" w:color="auto" w:fill="auto"/>
                  <w:vAlign w:val="center"/>
                </w:tcPr>
                <w:p>
                  <w:pPr>
                    <w:jc w:val="center"/>
                    <w:rPr>
                      <w:rFonts w:ascii="Times New Roman" w:hAnsi="Times New Roman"/>
                      <w:szCs w:val="21"/>
                    </w:rPr>
                  </w:pPr>
                  <w:r>
                    <w:rPr>
                      <w:rFonts w:ascii="Times New Roman" w:hAnsi="Times New Roman"/>
                      <w:szCs w:val="21"/>
                    </w:rPr>
                    <w:t>柴油</w:t>
                  </w:r>
                </w:p>
              </w:tc>
              <w:tc>
                <w:tcPr>
                  <w:tcW w:w="1250" w:type="pct"/>
                  <w:shd w:val="clear" w:color="auto" w:fill="auto"/>
                  <w:vAlign w:val="center"/>
                </w:tcPr>
                <w:p>
                  <w:pPr>
                    <w:jc w:val="center"/>
                    <w:rPr>
                      <w:rFonts w:ascii="Times New Roman" w:hAnsi="Times New Roman"/>
                      <w:szCs w:val="21"/>
                    </w:rPr>
                  </w:pPr>
                  <w:r>
                    <w:rPr>
                      <w:rFonts w:hint="eastAsia" w:ascii="Times New Roman" w:hAnsi="Times New Roman"/>
                      <w:szCs w:val="21"/>
                    </w:rPr>
                    <w:t>1000</w:t>
                  </w:r>
                </w:p>
              </w:tc>
              <w:tc>
                <w:tcPr>
                  <w:tcW w:w="1250" w:type="pct"/>
                  <w:shd w:val="clear" w:color="auto" w:fill="auto"/>
                  <w:vAlign w:val="center"/>
                </w:tcPr>
                <w:p>
                  <w:pPr>
                    <w:jc w:val="center"/>
                    <w:rPr>
                      <w:rFonts w:ascii="Times New Roman" w:hAnsi="Times New Roman"/>
                      <w:szCs w:val="21"/>
                    </w:rPr>
                  </w:pPr>
                  <w:r>
                    <w:rPr>
                      <w:rFonts w:hint="eastAsia" w:ascii="Times New Roman" w:hAnsi="Times New Roman"/>
                      <w:szCs w:val="21"/>
                    </w:rPr>
                    <w:t>102.6</w:t>
                  </w:r>
                  <w:r>
                    <w:rPr>
                      <w:rFonts w:ascii="Times New Roman" w:hAnsi="Times New Roman"/>
                      <w:szCs w:val="21"/>
                    </w:rPr>
                    <w:t>t</w:t>
                  </w:r>
                </w:p>
              </w:tc>
              <w:tc>
                <w:tcPr>
                  <w:tcW w:w="1249" w:type="pct"/>
                  <w:vMerge w:val="continue"/>
                  <w:vAlign w:val="center"/>
                </w:tcPr>
                <w:p>
                  <w:pPr>
                    <w:jc w:val="center"/>
                    <w:rPr>
                      <w:rFonts w:ascii="Times New Roman" w:hAnsi="Times New Roman"/>
                      <w:szCs w:val="21"/>
                    </w:rPr>
                  </w:pPr>
                </w:p>
              </w:tc>
            </w:tr>
          </w:tbl>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6 总平面布置及规模符合性</w:t>
            </w:r>
          </w:p>
          <w:p>
            <w:pPr>
              <w:spacing w:line="360" w:lineRule="auto"/>
              <w:ind w:firstLine="560" w:firstLineChars="200"/>
              <w:rPr>
                <w:rFonts w:ascii="Times New Roman" w:hAnsi="Times New Roman"/>
                <w:sz w:val="28"/>
                <w:szCs w:val="28"/>
              </w:rPr>
            </w:pPr>
            <w:r>
              <w:rPr>
                <w:rFonts w:ascii="Times New Roman" w:hAnsi="Times New Roman"/>
                <w:sz w:val="28"/>
                <w:szCs w:val="28"/>
              </w:rPr>
              <w:t>加油站平面布置严格按照《汽车加油加气站设计与施工规范》（GB50156-2012）（2014年局部修订版）及《建筑设计防火规范》(GB50016-2014)进行。加油站站内分区布置，主要是加油作业区、埋地罐区及辅助服务区。依据总平面布置图，该站站内建筑物与站外主要建、构筑物的安全距离见下表。</w:t>
            </w:r>
          </w:p>
          <w:p>
            <w:pPr>
              <w:spacing w:line="360" w:lineRule="auto"/>
              <w:jc w:val="center"/>
              <w:rPr>
                <w:rFonts w:ascii="Times New Roman" w:hAnsi="Times New Roman"/>
                <w:b/>
                <w:sz w:val="24"/>
                <w:szCs w:val="24"/>
              </w:rPr>
            </w:pPr>
            <w:r>
              <w:rPr>
                <w:rFonts w:ascii="Times New Roman" w:hAnsi="Times New Roman"/>
                <w:b/>
                <w:sz w:val="24"/>
                <w:szCs w:val="24"/>
              </w:rPr>
              <w:t xml:space="preserve">表6 </w:t>
            </w:r>
            <w:r>
              <w:rPr>
                <w:rFonts w:hint="eastAsia" w:ascii="Times New Roman" w:hAnsi="Times New Roman"/>
                <w:b/>
                <w:sz w:val="24"/>
                <w:szCs w:val="24"/>
              </w:rPr>
              <w:t xml:space="preserve"> </w:t>
            </w:r>
            <w:r>
              <w:rPr>
                <w:rFonts w:ascii="Times New Roman" w:hAnsi="Times New Roman"/>
                <w:b/>
                <w:sz w:val="24"/>
                <w:szCs w:val="24"/>
              </w:rPr>
              <w:t xml:space="preserve">  </w:t>
            </w:r>
            <w:r>
              <w:rPr>
                <w:rFonts w:hint="eastAsia" w:ascii="Times New Roman" w:hAnsi="Times New Roman"/>
                <w:b/>
                <w:sz w:val="24"/>
                <w:szCs w:val="24"/>
              </w:rPr>
              <w:t>二</w:t>
            </w:r>
            <w:r>
              <w:rPr>
                <w:rFonts w:ascii="Times New Roman" w:hAnsi="Times New Roman"/>
                <w:b/>
                <w:sz w:val="24"/>
                <w:szCs w:val="24"/>
              </w:rPr>
              <w:t>级加油站站内设施与站外建、构筑物的安全距离</w:t>
            </w:r>
          </w:p>
          <w:tbl>
            <w:tblPr>
              <w:tblStyle w:val="2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743"/>
              <w:gridCol w:w="3260"/>
              <w:gridCol w:w="1294"/>
              <w:gridCol w:w="168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5" w:type="dxa"/>
                  <w:vAlign w:val="center"/>
                </w:tcPr>
                <w:p>
                  <w:pPr>
                    <w:spacing w:line="340" w:lineRule="exact"/>
                    <w:jc w:val="center"/>
                    <w:rPr>
                      <w:b/>
                    </w:rPr>
                  </w:pPr>
                  <w:r>
                    <w:rPr>
                      <w:rFonts w:hAnsi="宋体"/>
                      <w:b/>
                    </w:rPr>
                    <w:t>项目</w:t>
                  </w:r>
                </w:p>
              </w:tc>
              <w:tc>
                <w:tcPr>
                  <w:tcW w:w="1743" w:type="dxa"/>
                  <w:vAlign w:val="center"/>
                </w:tcPr>
                <w:p>
                  <w:pPr>
                    <w:spacing w:line="340" w:lineRule="exact"/>
                    <w:jc w:val="center"/>
                    <w:rPr>
                      <w:rFonts w:hAnsi="宋体"/>
                      <w:b/>
                    </w:rPr>
                  </w:pPr>
                  <w:r>
                    <w:rPr>
                      <w:rFonts w:hAnsi="宋体"/>
                      <w:b/>
                    </w:rPr>
                    <w:t>工艺</w:t>
                  </w:r>
                </w:p>
                <w:p>
                  <w:pPr>
                    <w:spacing w:line="340" w:lineRule="exact"/>
                    <w:jc w:val="center"/>
                    <w:rPr>
                      <w:b/>
                    </w:rPr>
                  </w:pPr>
                  <w:r>
                    <w:rPr>
                      <w:rFonts w:hAnsi="宋体"/>
                      <w:b/>
                    </w:rPr>
                    <w:t>设施</w:t>
                  </w:r>
                </w:p>
              </w:tc>
              <w:tc>
                <w:tcPr>
                  <w:tcW w:w="3260" w:type="dxa"/>
                  <w:vAlign w:val="center"/>
                </w:tcPr>
                <w:p>
                  <w:pPr>
                    <w:spacing w:line="340" w:lineRule="exact"/>
                    <w:jc w:val="center"/>
                    <w:rPr>
                      <w:rFonts w:hAnsi="宋体"/>
                      <w:b/>
                    </w:rPr>
                  </w:pPr>
                  <w:r>
                    <w:rPr>
                      <w:rFonts w:hAnsi="宋体"/>
                      <w:b/>
                    </w:rPr>
                    <w:t>相邻建（构）筑物</w:t>
                  </w:r>
                </w:p>
                <w:p>
                  <w:pPr>
                    <w:spacing w:line="340" w:lineRule="exact"/>
                    <w:jc w:val="center"/>
                    <w:rPr>
                      <w:b/>
                    </w:rPr>
                  </w:pPr>
                  <w:r>
                    <w:rPr>
                      <w:rFonts w:hAnsi="宋体"/>
                      <w:b/>
                    </w:rPr>
                    <w:t>名称</w:t>
                  </w:r>
                </w:p>
              </w:tc>
              <w:tc>
                <w:tcPr>
                  <w:tcW w:w="1294" w:type="dxa"/>
                  <w:vAlign w:val="center"/>
                </w:tcPr>
                <w:p>
                  <w:pPr>
                    <w:spacing w:line="340" w:lineRule="exact"/>
                    <w:jc w:val="center"/>
                    <w:rPr>
                      <w:rFonts w:hAnsi="宋体"/>
                      <w:b/>
                    </w:rPr>
                  </w:pPr>
                  <w:r>
                    <w:rPr>
                      <w:rFonts w:hint="eastAsia" w:hAnsi="宋体"/>
                      <w:b/>
                    </w:rPr>
                    <w:t>拟建</w:t>
                  </w:r>
                </w:p>
                <w:p>
                  <w:pPr>
                    <w:spacing w:line="340" w:lineRule="exact"/>
                    <w:jc w:val="center"/>
                    <w:rPr>
                      <w:b/>
                    </w:rPr>
                  </w:pPr>
                  <w:r>
                    <w:rPr>
                      <w:rFonts w:hAnsi="宋体"/>
                      <w:b/>
                    </w:rPr>
                    <w:t>距离（</w:t>
                  </w:r>
                  <w:r>
                    <w:rPr>
                      <w:b/>
                    </w:rPr>
                    <w:t>m</w:t>
                  </w:r>
                  <w:r>
                    <w:rPr>
                      <w:rFonts w:hAnsi="宋体"/>
                      <w:b/>
                    </w:rPr>
                    <w:t>）</w:t>
                  </w:r>
                </w:p>
              </w:tc>
              <w:tc>
                <w:tcPr>
                  <w:tcW w:w="1683" w:type="dxa"/>
                  <w:vAlign w:val="center"/>
                </w:tcPr>
                <w:p>
                  <w:pPr>
                    <w:spacing w:line="340" w:lineRule="exact"/>
                    <w:jc w:val="center"/>
                    <w:rPr>
                      <w:rFonts w:hAnsi="宋体"/>
                      <w:b/>
                    </w:rPr>
                  </w:pPr>
                  <w:r>
                    <w:rPr>
                      <w:rFonts w:hAnsi="宋体"/>
                      <w:b/>
                    </w:rPr>
                    <w:t>规范</w:t>
                  </w:r>
                </w:p>
                <w:p>
                  <w:pPr>
                    <w:spacing w:line="340" w:lineRule="exact"/>
                    <w:jc w:val="center"/>
                    <w:rPr>
                      <w:b/>
                    </w:rPr>
                  </w:pPr>
                  <w:r>
                    <w:rPr>
                      <w:rFonts w:hAnsi="宋体"/>
                      <w:b/>
                    </w:rPr>
                    <w:t>距离（</w:t>
                  </w:r>
                  <w:r>
                    <w:rPr>
                      <w:b/>
                    </w:rPr>
                    <w:t>m</w:t>
                  </w:r>
                  <w:r>
                    <w:rPr>
                      <w:rFonts w:hAnsi="宋体"/>
                      <w:b/>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5" w:type="dxa"/>
                  <w:vMerge w:val="restart"/>
                  <w:vAlign w:val="center"/>
                </w:tcPr>
                <w:p>
                  <w:pPr>
                    <w:spacing w:line="340" w:lineRule="exact"/>
                    <w:jc w:val="center"/>
                  </w:pPr>
                  <w:r>
                    <w:rPr>
                      <w:rFonts w:hint="eastAsia" w:hAnsi="宋体"/>
                    </w:rPr>
                    <w:t>站内设备</w:t>
                  </w:r>
                </w:p>
              </w:tc>
              <w:tc>
                <w:tcPr>
                  <w:tcW w:w="1743" w:type="dxa"/>
                  <w:vAlign w:val="center"/>
                </w:tcPr>
                <w:p>
                  <w:pPr>
                    <w:spacing w:line="340" w:lineRule="exact"/>
                    <w:jc w:val="center"/>
                    <w:rPr>
                      <w:rFonts w:hAnsi="宋体"/>
                    </w:rPr>
                  </w:pPr>
                  <w:r>
                    <w:rPr>
                      <w:rFonts w:hint="eastAsia" w:hAnsi="宋体"/>
                    </w:rPr>
                    <w:t>汽油储罐</w:t>
                  </w:r>
                </w:p>
                <w:p>
                  <w:pPr>
                    <w:spacing w:line="340" w:lineRule="exact"/>
                    <w:jc w:val="center"/>
                  </w:pPr>
                  <w:r>
                    <w:rPr>
                      <w:rFonts w:hint="eastAsia" w:hAnsi="宋体"/>
                    </w:rPr>
                    <w:t>（有卸油和加油油气回收系统）</w:t>
                  </w:r>
                </w:p>
              </w:tc>
              <w:tc>
                <w:tcPr>
                  <w:tcW w:w="3260" w:type="dxa"/>
                  <w:vAlign w:val="center"/>
                </w:tcPr>
                <w:p>
                  <w:pPr>
                    <w:spacing w:line="340" w:lineRule="exact"/>
                    <w:jc w:val="center"/>
                    <w:rPr>
                      <w:szCs w:val="21"/>
                    </w:rPr>
                  </w:pPr>
                  <w:r>
                    <w:rPr>
                      <w:rFonts w:hint="eastAsia"/>
                      <w:szCs w:val="21"/>
                    </w:rPr>
                    <w:t>北侧同街公路</w:t>
                  </w:r>
                  <w:r>
                    <w:rPr>
                      <w:rFonts w:hAnsi="宋体"/>
                      <w:szCs w:val="21"/>
                    </w:rPr>
                    <w:t>（</w:t>
                  </w:r>
                  <w:r>
                    <w:rPr>
                      <w:rFonts w:hint="eastAsia" w:hAnsi="宋体"/>
                      <w:szCs w:val="21"/>
                    </w:rPr>
                    <w:t>二级公路、次干路</w:t>
                  </w:r>
                  <w:r>
                    <w:rPr>
                      <w:rFonts w:hAnsi="宋体"/>
                      <w:szCs w:val="21"/>
                    </w:rPr>
                    <w:t>）</w:t>
                  </w:r>
                </w:p>
              </w:tc>
              <w:tc>
                <w:tcPr>
                  <w:tcW w:w="1294" w:type="dxa"/>
                  <w:vAlign w:val="center"/>
                </w:tcPr>
                <w:p>
                  <w:pPr>
                    <w:spacing w:line="340" w:lineRule="exact"/>
                    <w:jc w:val="center"/>
                    <w:rPr>
                      <w:szCs w:val="21"/>
                    </w:rPr>
                  </w:pPr>
                  <w:r>
                    <w:rPr>
                      <w:rFonts w:hint="eastAsia"/>
                      <w:szCs w:val="21"/>
                    </w:rPr>
                    <w:t xml:space="preserve">43.7 </w:t>
                  </w:r>
                </w:p>
              </w:tc>
              <w:tc>
                <w:tcPr>
                  <w:tcW w:w="1683" w:type="dxa"/>
                  <w:vAlign w:val="center"/>
                </w:tcPr>
                <w:p>
                  <w:pPr>
                    <w:spacing w:line="340" w:lineRule="exact"/>
                    <w:jc w:val="center"/>
                  </w:pPr>
                  <w:r>
                    <w:rPr>
                      <w:rFonts w:hint="eastAsia"/>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5" w:type="dxa"/>
                  <w:vMerge w:val="continue"/>
                  <w:vAlign w:val="center"/>
                </w:tcPr>
                <w:p>
                  <w:pPr>
                    <w:spacing w:line="340" w:lineRule="exact"/>
                    <w:jc w:val="center"/>
                    <w:rPr>
                      <w:rFonts w:hAnsi="宋体"/>
                    </w:rPr>
                  </w:pPr>
                </w:p>
              </w:tc>
              <w:tc>
                <w:tcPr>
                  <w:tcW w:w="1743" w:type="dxa"/>
                  <w:vAlign w:val="center"/>
                </w:tcPr>
                <w:p>
                  <w:pPr>
                    <w:spacing w:line="340" w:lineRule="exact"/>
                    <w:jc w:val="center"/>
                    <w:rPr>
                      <w:rFonts w:hAnsi="宋体"/>
                    </w:rPr>
                  </w:pPr>
                  <w:r>
                    <w:rPr>
                      <w:rFonts w:hint="eastAsia" w:hAnsi="宋体"/>
                    </w:rPr>
                    <w:t>柴油储罐</w:t>
                  </w:r>
                </w:p>
              </w:tc>
              <w:tc>
                <w:tcPr>
                  <w:tcW w:w="3260" w:type="dxa"/>
                  <w:vAlign w:val="center"/>
                </w:tcPr>
                <w:p>
                  <w:pPr>
                    <w:spacing w:line="340" w:lineRule="exact"/>
                    <w:jc w:val="center"/>
                    <w:rPr>
                      <w:szCs w:val="21"/>
                    </w:rPr>
                  </w:pPr>
                  <w:r>
                    <w:rPr>
                      <w:rFonts w:hint="eastAsia"/>
                      <w:szCs w:val="21"/>
                    </w:rPr>
                    <w:t>北侧同街公路</w:t>
                  </w:r>
                  <w:r>
                    <w:rPr>
                      <w:rFonts w:hAnsi="宋体"/>
                      <w:szCs w:val="21"/>
                    </w:rPr>
                    <w:t>（</w:t>
                  </w:r>
                  <w:r>
                    <w:rPr>
                      <w:rFonts w:hint="eastAsia" w:hAnsi="宋体"/>
                      <w:szCs w:val="21"/>
                    </w:rPr>
                    <w:t>二级公路</w:t>
                  </w:r>
                  <w:r>
                    <w:rPr>
                      <w:rFonts w:hAnsi="宋体"/>
                      <w:szCs w:val="21"/>
                    </w:rPr>
                    <w:t>）</w:t>
                  </w:r>
                </w:p>
              </w:tc>
              <w:tc>
                <w:tcPr>
                  <w:tcW w:w="1294" w:type="dxa"/>
                  <w:vAlign w:val="center"/>
                </w:tcPr>
                <w:p>
                  <w:pPr>
                    <w:spacing w:line="340" w:lineRule="exact"/>
                    <w:jc w:val="center"/>
                    <w:rPr>
                      <w:szCs w:val="21"/>
                    </w:rPr>
                  </w:pPr>
                  <w:r>
                    <w:rPr>
                      <w:rFonts w:hint="eastAsia"/>
                      <w:szCs w:val="21"/>
                    </w:rPr>
                    <w:t xml:space="preserve">43.7 </w:t>
                  </w:r>
                </w:p>
              </w:tc>
              <w:tc>
                <w:tcPr>
                  <w:tcW w:w="1683" w:type="dxa"/>
                  <w:vAlign w:val="center"/>
                </w:tcPr>
                <w:p>
                  <w:pPr>
                    <w:spacing w:line="340" w:lineRule="exact"/>
                    <w:jc w:val="center"/>
                  </w:pPr>
                  <w:r>
                    <w:rPr>
                      <w:rFonts w:hint="eastAsia"/>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5" w:type="dxa"/>
                  <w:vMerge w:val="continue"/>
                  <w:vAlign w:val="center"/>
                </w:tcPr>
                <w:p>
                  <w:pPr>
                    <w:spacing w:line="340" w:lineRule="exact"/>
                    <w:jc w:val="center"/>
                  </w:pPr>
                </w:p>
              </w:tc>
              <w:tc>
                <w:tcPr>
                  <w:tcW w:w="1743" w:type="dxa"/>
                  <w:vAlign w:val="center"/>
                </w:tcPr>
                <w:p>
                  <w:pPr>
                    <w:spacing w:line="340" w:lineRule="exact"/>
                    <w:jc w:val="center"/>
                    <w:rPr>
                      <w:rFonts w:hAnsi="宋体"/>
                    </w:rPr>
                  </w:pPr>
                  <w:r>
                    <w:rPr>
                      <w:rFonts w:hint="eastAsia" w:hAnsi="宋体"/>
                    </w:rPr>
                    <w:t>汽油</w:t>
                  </w:r>
                  <w:r>
                    <w:rPr>
                      <w:rFonts w:hAnsi="宋体"/>
                    </w:rPr>
                    <w:t>加油机</w:t>
                  </w:r>
                </w:p>
                <w:p>
                  <w:pPr>
                    <w:spacing w:line="340" w:lineRule="exact"/>
                    <w:jc w:val="center"/>
                  </w:pPr>
                  <w:r>
                    <w:rPr>
                      <w:rFonts w:hint="eastAsia" w:hAnsi="宋体"/>
                    </w:rPr>
                    <w:t>（有卸油和加油油气回收系统）</w:t>
                  </w:r>
                </w:p>
              </w:tc>
              <w:tc>
                <w:tcPr>
                  <w:tcW w:w="3260" w:type="dxa"/>
                  <w:vAlign w:val="center"/>
                </w:tcPr>
                <w:p>
                  <w:pPr>
                    <w:spacing w:line="340" w:lineRule="exact"/>
                    <w:jc w:val="center"/>
                    <w:rPr>
                      <w:szCs w:val="21"/>
                    </w:rPr>
                  </w:pPr>
                  <w:r>
                    <w:rPr>
                      <w:rFonts w:hint="eastAsia"/>
                      <w:szCs w:val="21"/>
                    </w:rPr>
                    <w:t>北侧同街公路</w:t>
                  </w:r>
                  <w:r>
                    <w:rPr>
                      <w:rFonts w:hAnsi="宋体"/>
                      <w:szCs w:val="21"/>
                    </w:rPr>
                    <w:t>（</w:t>
                  </w:r>
                  <w:r>
                    <w:rPr>
                      <w:rFonts w:hint="eastAsia" w:hAnsi="宋体"/>
                      <w:szCs w:val="21"/>
                    </w:rPr>
                    <w:t>二级公路</w:t>
                  </w:r>
                  <w:r>
                    <w:rPr>
                      <w:rFonts w:hAnsi="宋体"/>
                      <w:szCs w:val="21"/>
                    </w:rPr>
                    <w:t>）</w:t>
                  </w:r>
                </w:p>
              </w:tc>
              <w:tc>
                <w:tcPr>
                  <w:tcW w:w="1294" w:type="dxa"/>
                  <w:vAlign w:val="center"/>
                </w:tcPr>
                <w:p>
                  <w:pPr>
                    <w:spacing w:line="340" w:lineRule="exact"/>
                    <w:jc w:val="center"/>
                    <w:rPr>
                      <w:szCs w:val="21"/>
                    </w:rPr>
                  </w:pPr>
                  <w:r>
                    <w:rPr>
                      <w:rFonts w:hint="eastAsia"/>
                      <w:szCs w:val="21"/>
                    </w:rPr>
                    <w:t xml:space="preserve">35.4 </w:t>
                  </w:r>
                </w:p>
              </w:tc>
              <w:tc>
                <w:tcPr>
                  <w:tcW w:w="1683" w:type="dxa"/>
                  <w:vAlign w:val="center"/>
                </w:tcPr>
                <w:p>
                  <w:pPr>
                    <w:spacing w:line="340" w:lineRule="exact"/>
                    <w:jc w:val="center"/>
                  </w:pPr>
                  <w:r>
                    <w:rPr>
                      <w:rFonts w:hint="eastAsia"/>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5" w:type="dxa"/>
                  <w:vMerge w:val="continue"/>
                  <w:vAlign w:val="center"/>
                </w:tcPr>
                <w:p>
                  <w:pPr>
                    <w:spacing w:line="340" w:lineRule="exact"/>
                    <w:jc w:val="center"/>
                  </w:pPr>
                </w:p>
              </w:tc>
              <w:tc>
                <w:tcPr>
                  <w:tcW w:w="1743" w:type="dxa"/>
                  <w:vAlign w:val="center"/>
                </w:tcPr>
                <w:p>
                  <w:pPr>
                    <w:spacing w:line="340" w:lineRule="exact"/>
                    <w:jc w:val="center"/>
                  </w:pPr>
                  <w:r>
                    <w:rPr>
                      <w:rFonts w:hint="eastAsia"/>
                    </w:rPr>
                    <w:t>柴油加油机</w:t>
                  </w:r>
                </w:p>
              </w:tc>
              <w:tc>
                <w:tcPr>
                  <w:tcW w:w="3260" w:type="dxa"/>
                  <w:vAlign w:val="center"/>
                </w:tcPr>
                <w:p>
                  <w:pPr>
                    <w:spacing w:line="340" w:lineRule="exact"/>
                    <w:jc w:val="center"/>
                    <w:rPr>
                      <w:szCs w:val="21"/>
                    </w:rPr>
                  </w:pPr>
                  <w:r>
                    <w:rPr>
                      <w:rFonts w:hint="eastAsia"/>
                      <w:szCs w:val="21"/>
                    </w:rPr>
                    <w:t>北侧同街公路</w:t>
                  </w:r>
                  <w:r>
                    <w:rPr>
                      <w:rFonts w:hAnsi="宋体"/>
                      <w:szCs w:val="21"/>
                    </w:rPr>
                    <w:t>（</w:t>
                  </w:r>
                  <w:r>
                    <w:rPr>
                      <w:rFonts w:hint="eastAsia" w:hAnsi="宋体"/>
                      <w:szCs w:val="21"/>
                    </w:rPr>
                    <w:t>二级公路</w:t>
                  </w:r>
                  <w:r>
                    <w:rPr>
                      <w:rFonts w:hAnsi="宋体"/>
                      <w:szCs w:val="21"/>
                    </w:rPr>
                    <w:t>）</w:t>
                  </w:r>
                </w:p>
              </w:tc>
              <w:tc>
                <w:tcPr>
                  <w:tcW w:w="1294" w:type="dxa"/>
                  <w:vAlign w:val="center"/>
                </w:tcPr>
                <w:p>
                  <w:pPr>
                    <w:spacing w:line="340" w:lineRule="exact"/>
                    <w:jc w:val="center"/>
                    <w:rPr>
                      <w:szCs w:val="21"/>
                    </w:rPr>
                  </w:pPr>
                  <w:r>
                    <w:rPr>
                      <w:rFonts w:hint="eastAsia"/>
                      <w:szCs w:val="21"/>
                    </w:rPr>
                    <w:t xml:space="preserve">23.8 </w:t>
                  </w:r>
                </w:p>
              </w:tc>
              <w:tc>
                <w:tcPr>
                  <w:tcW w:w="1683" w:type="dxa"/>
                  <w:vAlign w:val="center"/>
                </w:tcPr>
                <w:p>
                  <w:pPr>
                    <w:spacing w:line="340" w:lineRule="exact"/>
                    <w:jc w:val="center"/>
                  </w:pPr>
                  <w:r>
                    <w:rPr>
                      <w:rFonts w:hint="eastAsia"/>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5" w:type="dxa"/>
                  <w:vMerge w:val="continue"/>
                  <w:vAlign w:val="center"/>
                </w:tcPr>
                <w:p>
                  <w:pPr>
                    <w:spacing w:line="340" w:lineRule="exact"/>
                    <w:jc w:val="center"/>
                  </w:pPr>
                </w:p>
              </w:tc>
              <w:tc>
                <w:tcPr>
                  <w:tcW w:w="1743" w:type="dxa"/>
                  <w:vAlign w:val="center"/>
                </w:tcPr>
                <w:p>
                  <w:pPr>
                    <w:spacing w:line="340" w:lineRule="exact"/>
                    <w:jc w:val="center"/>
                  </w:pPr>
                  <w:r>
                    <w:rPr>
                      <w:rFonts w:hint="eastAsia" w:hAnsi="宋体"/>
                    </w:rPr>
                    <w:t>汽油</w:t>
                  </w:r>
                  <w:r>
                    <w:rPr>
                      <w:rFonts w:hAnsi="宋体"/>
                    </w:rPr>
                    <w:t>通气管管口</w:t>
                  </w:r>
                  <w:r>
                    <w:rPr>
                      <w:rFonts w:hint="eastAsia" w:hAnsi="宋体"/>
                    </w:rPr>
                    <w:t>（有卸油和加油油气回收系统）</w:t>
                  </w:r>
                </w:p>
              </w:tc>
              <w:tc>
                <w:tcPr>
                  <w:tcW w:w="3260" w:type="dxa"/>
                  <w:vAlign w:val="center"/>
                </w:tcPr>
                <w:p>
                  <w:pPr>
                    <w:spacing w:line="340" w:lineRule="exact"/>
                    <w:jc w:val="center"/>
                    <w:rPr>
                      <w:szCs w:val="21"/>
                    </w:rPr>
                  </w:pPr>
                  <w:r>
                    <w:rPr>
                      <w:rFonts w:hint="eastAsia"/>
                      <w:szCs w:val="21"/>
                    </w:rPr>
                    <w:t>北侧同街公路</w:t>
                  </w:r>
                  <w:r>
                    <w:rPr>
                      <w:rFonts w:hAnsi="宋体"/>
                      <w:szCs w:val="21"/>
                    </w:rPr>
                    <w:t>（</w:t>
                  </w:r>
                  <w:r>
                    <w:rPr>
                      <w:rFonts w:hint="eastAsia" w:hAnsi="宋体"/>
                      <w:szCs w:val="21"/>
                    </w:rPr>
                    <w:t>二级公路</w:t>
                  </w:r>
                  <w:r>
                    <w:rPr>
                      <w:rFonts w:hAnsi="宋体"/>
                      <w:szCs w:val="21"/>
                    </w:rPr>
                    <w:t>）</w:t>
                  </w:r>
                </w:p>
              </w:tc>
              <w:tc>
                <w:tcPr>
                  <w:tcW w:w="1294" w:type="dxa"/>
                  <w:vAlign w:val="center"/>
                </w:tcPr>
                <w:p>
                  <w:pPr>
                    <w:spacing w:line="340" w:lineRule="exact"/>
                    <w:jc w:val="center"/>
                    <w:rPr>
                      <w:szCs w:val="21"/>
                    </w:rPr>
                  </w:pPr>
                  <w:r>
                    <w:rPr>
                      <w:rFonts w:hint="eastAsia"/>
                      <w:szCs w:val="21"/>
                    </w:rPr>
                    <w:t xml:space="preserve">52.1 </w:t>
                  </w:r>
                </w:p>
              </w:tc>
              <w:tc>
                <w:tcPr>
                  <w:tcW w:w="1683" w:type="dxa"/>
                  <w:vAlign w:val="center"/>
                </w:tcPr>
                <w:p>
                  <w:pPr>
                    <w:spacing w:line="340" w:lineRule="exact"/>
                    <w:jc w:val="center"/>
                  </w:pPr>
                  <w:r>
                    <w:rPr>
                      <w:rFonts w:hint="eastAsia"/>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75" w:type="dxa"/>
                  <w:vMerge w:val="continue"/>
                  <w:vAlign w:val="center"/>
                </w:tcPr>
                <w:p>
                  <w:pPr>
                    <w:spacing w:line="340" w:lineRule="exact"/>
                    <w:jc w:val="center"/>
                  </w:pPr>
                </w:p>
              </w:tc>
              <w:tc>
                <w:tcPr>
                  <w:tcW w:w="1743" w:type="dxa"/>
                  <w:vAlign w:val="center"/>
                </w:tcPr>
                <w:p>
                  <w:pPr>
                    <w:spacing w:line="340" w:lineRule="exact"/>
                    <w:jc w:val="center"/>
                  </w:pPr>
                  <w:r>
                    <w:rPr>
                      <w:rFonts w:hint="eastAsia"/>
                    </w:rPr>
                    <w:t>柴油通气管口</w:t>
                  </w:r>
                </w:p>
              </w:tc>
              <w:tc>
                <w:tcPr>
                  <w:tcW w:w="3260" w:type="dxa"/>
                  <w:vAlign w:val="center"/>
                </w:tcPr>
                <w:p>
                  <w:pPr>
                    <w:spacing w:line="340" w:lineRule="exact"/>
                    <w:jc w:val="center"/>
                    <w:rPr>
                      <w:szCs w:val="21"/>
                    </w:rPr>
                  </w:pPr>
                  <w:r>
                    <w:rPr>
                      <w:rFonts w:hint="eastAsia"/>
                      <w:szCs w:val="21"/>
                    </w:rPr>
                    <w:t>北侧同街公路</w:t>
                  </w:r>
                  <w:r>
                    <w:rPr>
                      <w:rFonts w:hAnsi="宋体"/>
                      <w:szCs w:val="21"/>
                    </w:rPr>
                    <w:t>（</w:t>
                  </w:r>
                  <w:r>
                    <w:rPr>
                      <w:rFonts w:hint="eastAsia" w:hAnsi="宋体"/>
                      <w:szCs w:val="21"/>
                    </w:rPr>
                    <w:t>二级公路</w:t>
                  </w:r>
                  <w:r>
                    <w:rPr>
                      <w:rFonts w:hAnsi="宋体"/>
                      <w:szCs w:val="21"/>
                    </w:rPr>
                    <w:t>）</w:t>
                  </w:r>
                </w:p>
              </w:tc>
              <w:tc>
                <w:tcPr>
                  <w:tcW w:w="1294" w:type="dxa"/>
                  <w:vAlign w:val="center"/>
                </w:tcPr>
                <w:p>
                  <w:pPr>
                    <w:spacing w:line="340" w:lineRule="exact"/>
                    <w:jc w:val="center"/>
                    <w:rPr>
                      <w:szCs w:val="21"/>
                    </w:rPr>
                  </w:pPr>
                  <w:r>
                    <w:rPr>
                      <w:rFonts w:hint="eastAsia"/>
                      <w:szCs w:val="21"/>
                    </w:rPr>
                    <w:t xml:space="preserve">43.7 </w:t>
                  </w:r>
                </w:p>
              </w:tc>
              <w:tc>
                <w:tcPr>
                  <w:tcW w:w="1683" w:type="dxa"/>
                  <w:vAlign w:val="center"/>
                </w:tcPr>
                <w:p>
                  <w:pPr>
                    <w:spacing w:line="340" w:lineRule="exact"/>
                    <w:jc w:val="center"/>
                  </w:pPr>
                  <w:r>
                    <w:rPr>
                      <w:rFonts w:hint="eastAsia"/>
                    </w:rPr>
                    <w:t>5</w:t>
                  </w:r>
                </w:p>
              </w:tc>
            </w:tr>
          </w:tbl>
          <w:p>
            <w:pPr>
              <w:spacing w:line="360" w:lineRule="auto"/>
              <w:ind w:firstLine="560" w:firstLineChars="200"/>
              <w:jc w:val="left"/>
              <w:rPr>
                <w:rFonts w:ascii="Times New Roman" w:hAnsi="Times New Roman"/>
                <w:sz w:val="28"/>
                <w:szCs w:val="28"/>
              </w:rPr>
            </w:pPr>
            <w:r>
              <w:rPr>
                <w:rFonts w:ascii="Times New Roman" w:hAnsi="Times New Roman"/>
                <w:sz w:val="28"/>
                <w:szCs w:val="28"/>
              </w:rPr>
              <w:t>新建加油站的站内设施与站外建、构筑物的安全距离满足《汽车加油加气站设计与施工规范》GB50156-2012(2014年版）的要求。</w:t>
            </w:r>
          </w:p>
          <w:p>
            <w:pPr>
              <w:spacing w:line="360" w:lineRule="auto"/>
              <w:ind w:firstLine="560" w:firstLineChars="200"/>
              <w:jc w:val="left"/>
              <w:rPr>
                <w:rFonts w:ascii="Times New Roman" w:hAnsi="Times New Roman"/>
                <w:sz w:val="28"/>
                <w:szCs w:val="28"/>
              </w:rPr>
            </w:pPr>
            <w:r>
              <w:rPr>
                <w:rFonts w:ascii="Times New Roman" w:hAnsi="Times New Roman"/>
                <w:sz w:val="28"/>
                <w:szCs w:val="28"/>
              </w:rPr>
              <w:t>根据总平面布置图加油站站内各主要设施、建（构）筑物间的防火间距见下表。</w:t>
            </w:r>
          </w:p>
          <w:p>
            <w:pPr>
              <w:spacing w:line="360" w:lineRule="auto"/>
              <w:jc w:val="center"/>
              <w:rPr>
                <w:rFonts w:ascii="Times New Roman" w:hAnsi="Times New Roman"/>
                <w:b/>
                <w:sz w:val="24"/>
                <w:szCs w:val="24"/>
              </w:rPr>
            </w:pPr>
            <w:r>
              <w:rPr>
                <w:rFonts w:ascii="Times New Roman" w:hAnsi="Times New Roman"/>
                <w:b/>
                <w:sz w:val="24"/>
                <w:szCs w:val="24"/>
              </w:rPr>
              <w:t>表7    站内设施之间的防火距离（m）</w:t>
            </w:r>
          </w:p>
          <w:tbl>
            <w:tblPr>
              <w:tblStyle w:val="26"/>
              <w:tblW w:w="932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165"/>
              <w:gridCol w:w="1001"/>
              <w:gridCol w:w="1236"/>
              <w:gridCol w:w="1134"/>
              <w:gridCol w:w="1134"/>
              <w:gridCol w:w="1134"/>
              <w:gridCol w:w="99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526" w:type="dxa"/>
                  <w:vAlign w:val="center"/>
                </w:tcPr>
                <w:p>
                  <w:pPr>
                    <w:jc w:val="center"/>
                    <w:rPr>
                      <w:szCs w:val="21"/>
                    </w:rPr>
                  </w:pPr>
                  <w:r>
                    <w:rPr>
                      <w:rFonts w:hint="eastAsia"/>
                      <w:szCs w:val="21"/>
                    </w:rPr>
                    <w:t>设施名称</w:t>
                  </w:r>
                </w:p>
              </w:tc>
              <w:tc>
                <w:tcPr>
                  <w:tcW w:w="1165" w:type="dxa"/>
                  <w:vAlign w:val="center"/>
                </w:tcPr>
                <w:p>
                  <w:pPr>
                    <w:jc w:val="center"/>
                    <w:rPr>
                      <w:szCs w:val="21"/>
                    </w:rPr>
                  </w:pPr>
                  <w:r>
                    <w:rPr>
                      <w:rFonts w:hint="eastAsia"/>
                      <w:szCs w:val="21"/>
                    </w:rPr>
                    <w:t>汽油罐</w:t>
                  </w:r>
                </w:p>
              </w:tc>
              <w:tc>
                <w:tcPr>
                  <w:tcW w:w="1001" w:type="dxa"/>
                  <w:vAlign w:val="center"/>
                </w:tcPr>
                <w:p>
                  <w:pPr>
                    <w:jc w:val="center"/>
                    <w:rPr>
                      <w:szCs w:val="21"/>
                    </w:rPr>
                  </w:pPr>
                  <w:r>
                    <w:rPr>
                      <w:rFonts w:hint="eastAsia"/>
                      <w:szCs w:val="21"/>
                    </w:rPr>
                    <w:t>柴油罐</w:t>
                  </w:r>
                </w:p>
              </w:tc>
              <w:tc>
                <w:tcPr>
                  <w:tcW w:w="1236" w:type="dxa"/>
                  <w:vAlign w:val="center"/>
                </w:tcPr>
                <w:p>
                  <w:pPr>
                    <w:jc w:val="center"/>
                    <w:rPr>
                      <w:szCs w:val="21"/>
                    </w:rPr>
                  </w:pPr>
                  <w:r>
                    <w:rPr>
                      <w:rFonts w:hint="eastAsia"/>
                      <w:szCs w:val="21"/>
                    </w:rPr>
                    <w:t>汽油通气</w:t>
                  </w:r>
                </w:p>
                <w:p>
                  <w:pPr>
                    <w:jc w:val="center"/>
                    <w:rPr>
                      <w:szCs w:val="21"/>
                    </w:rPr>
                  </w:pPr>
                  <w:r>
                    <w:rPr>
                      <w:rFonts w:hint="eastAsia"/>
                      <w:szCs w:val="21"/>
                    </w:rPr>
                    <w:t>管口</w:t>
                  </w:r>
                </w:p>
              </w:tc>
              <w:tc>
                <w:tcPr>
                  <w:tcW w:w="1134" w:type="dxa"/>
                  <w:vAlign w:val="center"/>
                </w:tcPr>
                <w:p>
                  <w:pPr>
                    <w:jc w:val="center"/>
                    <w:rPr>
                      <w:szCs w:val="21"/>
                    </w:rPr>
                  </w:pPr>
                  <w:r>
                    <w:rPr>
                      <w:rFonts w:hint="eastAsia"/>
                      <w:szCs w:val="21"/>
                    </w:rPr>
                    <w:t>柴油通气</w:t>
                  </w:r>
                </w:p>
                <w:p>
                  <w:pPr>
                    <w:jc w:val="center"/>
                    <w:rPr>
                      <w:szCs w:val="21"/>
                    </w:rPr>
                  </w:pPr>
                  <w:r>
                    <w:rPr>
                      <w:rFonts w:hint="eastAsia"/>
                      <w:szCs w:val="21"/>
                    </w:rPr>
                    <w:t>管口</w:t>
                  </w:r>
                </w:p>
              </w:tc>
              <w:tc>
                <w:tcPr>
                  <w:tcW w:w="1134" w:type="dxa"/>
                  <w:vAlign w:val="center"/>
                </w:tcPr>
                <w:p>
                  <w:pPr>
                    <w:jc w:val="center"/>
                    <w:rPr>
                      <w:szCs w:val="21"/>
                    </w:rPr>
                  </w:pPr>
                  <w:r>
                    <w:rPr>
                      <w:rFonts w:hint="eastAsia"/>
                      <w:szCs w:val="21"/>
                    </w:rPr>
                    <w:t>密闭卸</w:t>
                  </w:r>
                </w:p>
                <w:p>
                  <w:pPr>
                    <w:jc w:val="center"/>
                    <w:rPr>
                      <w:szCs w:val="21"/>
                    </w:rPr>
                  </w:pPr>
                  <w:r>
                    <w:rPr>
                      <w:rFonts w:hint="eastAsia"/>
                      <w:szCs w:val="21"/>
                    </w:rPr>
                    <w:t>油点</w:t>
                  </w:r>
                </w:p>
              </w:tc>
              <w:tc>
                <w:tcPr>
                  <w:tcW w:w="1134" w:type="dxa"/>
                  <w:vAlign w:val="center"/>
                </w:tcPr>
                <w:p>
                  <w:pPr>
                    <w:jc w:val="center"/>
                    <w:rPr>
                      <w:szCs w:val="21"/>
                    </w:rPr>
                  </w:pPr>
                  <w:r>
                    <w:rPr>
                      <w:rFonts w:hint="eastAsia"/>
                      <w:szCs w:val="21"/>
                    </w:rPr>
                    <w:t>汽油</w:t>
                  </w:r>
                </w:p>
                <w:p>
                  <w:pPr>
                    <w:jc w:val="center"/>
                    <w:rPr>
                      <w:szCs w:val="21"/>
                    </w:rPr>
                  </w:pPr>
                  <w:r>
                    <w:rPr>
                      <w:rFonts w:hint="eastAsia"/>
                      <w:szCs w:val="21"/>
                    </w:rPr>
                    <w:t>加油机</w:t>
                  </w:r>
                </w:p>
              </w:tc>
              <w:tc>
                <w:tcPr>
                  <w:tcW w:w="992" w:type="dxa"/>
                  <w:vAlign w:val="center"/>
                </w:tcPr>
                <w:p>
                  <w:pPr>
                    <w:jc w:val="center"/>
                    <w:rPr>
                      <w:szCs w:val="21"/>
                    </w:rPr>
                  </w:pPr>
                  <w:r>
                    <w:rPr>
                      <w:rFonts w:hint="eastAsia"/>
                      <w:szCs w:val="21"/>
                    </w:rPr>
                    <w:t>柴油</w:t>
                  </w:r>
                </w:p>
                <w:p>
                  <w:pPr>
                    <w:jc w:val="center"/>
                    <w:rPr>
                      <w:szCs w:val="21"/>
                    </w:rPr>
                  </w:pPr>
                  <w:r>
                    <w:rPr>
                      <w:rFonts w:hint="eastAsia"/>
                      <w:szCs w:val="21"/>
                    </w:rPr>
                    <w:t>加油机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526" w:type="dxa"/>
                  <w:vAlign w:val="center"/>
                </w:tcPr>
                <w:p>
                  <w:pPr>
                    <w:jc w:val="center"/>
                    <w:rPr>
                      <w:szCs w:val="21"/>
                    </w:rPr>
                  </w:pPr>
                  <w:r>
                    <w:rPr>
                      <w:rFonts w:hint="eastAsia"/>
                      <w:szCs w:val="21"/>
                    </w:rPr>
                    <w:t>汽油罐</w:t>
                  </w:r>
                </w:p>
              </w:tc>
              <w:tc>
                <w:tcPr>
                  <w:tcW w:w="1165" w:type="dxa"/>
                  <w:vAlign w:val="center"/>
                </w:tcPr>
                <w:p>
                  <w:pPr>
                    <w:jc w:val="center"/>
                    <w:rPr>
                      <w:szCs w:val="21"/>
                    </w:rPr>
                  </w:pPr>
                  <w:r>
                    <w:rPr>
                      <w:rFonts w:hint="eastAsia"/>
                      <w:szCs w:val="21"/>
                    </w:rPr>
                    <w:t>—</w:t>
                  </w:r>
                </w:p>
              </w:tc>
              <w:tc>
                <w:tcPr>
                  <w:tcW w:w="1001" w:type="dxa"/>
                  <w:vAlign w:val="center"/>
                </w:tcPr>
                <w:p>
                  <w:pPr>
                    <w:jc w:val="center"/>
                    <w:rPr>
                      <w:szCs w:val="21"/>
                    </w:rPr>
                  </w:pPr>
                  <w:r>
                    <w:rPr>
                      <w:rFonts w:hint="eastAsia"/>
                      <w:szCs w:val="21"/>
                    </w:rPr>
                    <w:t>0.6/0.5</w:t>
                  </w:r>
                </w:p>
              </w:tc>
              <w:tc>
                <w:tcPr>
                  <w:tcW w:w="1236"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992" w:type="dxa"/>
                  <w:vAlign w:val="center"/>
                </w:tcPr>
                <w:p>
                  <w:pPr>
                    <w:jc w:val="center"/>
                    <w:rPr>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526" w:type="dxa"/>
                  <w:vAlign w:val="center"/>
                </w:tcPr>
                <w:p>
                  <w:pPr>
                    <w:jc w:val="center"/>
                    <w:rPr>
                      <w:szCs w:val="21"/>
                    </w:rPr>
                  </w:pPr>
                  <w:r>
                    <w:rPr>
                      <w:rFonts w:hint="eastAsia"/>
                      <w:szCs w:val="21"/>
                    </w:rPr>
                    <w:t>柴油罐</w:t>
                  </w:r>
                </w:p>
              </w:tc>
              <w:tc>
                <w:tcPr>
                  <w:tcW w:w="1165" w:type="dxa"/>
                  <w:vAlign w:val="center"/>
                </w:tcPr>
                <w:p>
                  <w:pPr>
                    <w:jc w:val="center"/>
                    <w:rPr>
                      <w:szCs w:val="21"/>
                    </w:rPr>
                  </w:pPr>
                  <w:r>
                    <w:rPr>
                      <w:rFonts w:hint="eastAsia"/>
                      <w:szCs w:val="21"/>
                    </w:rPr>
                    <w:t>0.6/0.5</w:t>
                  </w:r>
                </w:p>
              </w:tc>
              <w:tc>
                <w:tcPr>
                  <w:tcW w:w="1001" w:type="dxa"/>
                  <w:vAlign w:val="center"/>
                </w:tcPr>
                <w:p>
                  <w:pPr>
                    <w:jc w:val="center"/>
                    <w:rPr>
                      <w:szCs w:val="21"/>
                    </w:rPr>
                  </w:pPr>
                  <w:r>
                    <w:rPr>
                      <w:rFonts w:hint="eastAsia"/>
                      <w:szCs w:val="21"/>
                    </w:rPr>
                    <w:t>0.6/0.5</w:t>
                  </w:r>
                </w:p>
              </w:tc>
              <w:tc>
                <w:tcPr>
                  <w:tcW w:w="1236"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992" w:type="dxa"/>
                  <w:vAlign w:val="center"/>
                </w:tcPr>
                <w:p>
                  <w:pPr>
                    <w:jc w:val="center"/>
                    <w:rPr>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526" w:type="dxa"/>
                  <w:vAlign w:val="center"/>
                </w:tcPr>
                <w:p>
                  <w:pPr>
                    <w:jc w:val="center"/>
                    <w:rPr>
                      <w:szCs w:val="21"/>
                    </w:rPr>
                  </w:pPr>
                  <w:r>
                    <w:rPr>
                      <w:rFonts w:hint="eastAsia"/>
                      <w:szCs w:val="21"/>
                    </w:rPr>
                    <w:t>汽油通气管口</w:t>
                  </w:r>
                </w:p>
              </w:tc>
              <w:tc>
                <w:tcPr>
                  <w:tcW w:w="1165" w:type="dxa"/>
                  <w:vAlign w:val="center"/>
                </w:tcPr>
                <w:p>
                  <w:pPr>
                    <w:jc w:val="center"/>
                    <w:rPr>
                      <w:szCs w:val="21"/>
                    </w:rPr>
                  </w:pPr>
                  <w:r>
                    <w:rPr>
                      <w:rFonts w:hint="eastAsia"/>
                      <w:szCs w:val="21"/>
                    </w:rPr>
                    <w:t>—</w:t>
                  </w:r>
                </w:p>
              </w:tc>
              <w:tc>
                <w:tcPr>
                  <w:tcW w:w="1001" w:type="dxa"/>
                  <w:vAlign w:val="center"/>
                </w:tcPr>
                <w:p>
                  <w:pPr>
                    <w:jc w:val="center"/>
                    <w:rPr>
                      <w:szCs w:val="21"/>
                    </w:rPr>
                  </w:pPr>
                  <w:r>
                    <w:rPr>
                      <w:rFonts w:hint="eastAsia"/>
                      <w:szCs w:val="21"/>
                    </w:rPr>
                    <w:t>—</w:t>
                  </w:r>
                </w:p>
              </w:tc>
              <w:tc>
                <w:tcPr>
                  <w:tcW w:w="1236"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7.5/3</w:t>
                  </w:r>
                </w:p>
              </w:tc>
              <w:tc>
                <w:tcPr>
                  <w:tcW w:w="1134" w:type="dxa"/>
                  <w:vAlign w:val="center"/>
                </w:tcPr>
                <w:p>
                  <w:pPr>
                    <w:jc w:val="center"/>
                    <w:rPr>
                      <w:szCs w:val="21"/>
                    </w:rPr>
                  </w:pPr>
                  <w:r>
                    <w:rPr>
                      <w:rFonts w:hint="eastAsia"/>
                      <w:szCs w:val="21"/>
                    </w:rPr>
                    <w:t>—</w:t>
                  </w:r>
                </w:p>
              </w:tc>
              <w:tc>
                <w:tcPr>
                  <w:tcW w:w="992" w:type="dxa"/>
                  <w:vAlign w:val="center"/>
                </w:tcPr>
                <w:p>
                  <w:pPr>
                    <w:jc w:val="center"/>
                    <w:rPr>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526" w:type="dxa"/>
                  <w:vAlign w:val="center"/>
                </w:tcPr>
                <w:p>
                  <w:pPr>
                    <w:jc w:val="center"/>
                    <w:rPr>
                      <w:szCs w:val="21"/>
                    </w:rPr>
                  </w:pPr>
                  <w:r>
                    <w:rPr>
                      <w:rFonts w:hint="eastAsia"/>
                      <w:szCs w:val="21"/>
                    </w:rPr>
                    <w:t>柴油通气管口</w:t>
                  </w:r>
                </w:p>
              </w:tc>
              <w:tc>
                <w:tcPr>
                  <w:tcW w:w="1165" w:type="dxa"/>
                  <w:vAlign w:val="center"/>
                </w:tcPr>
                <w:p>
                  <w:pPr>
                    <w:jc w:val="center"/>
                    <w:rPr>
                      <w:szCs w:val="21"/>
                    </w:rPr>
                  </w:pPr>
                  <w:r>
                    <w:rPr>
                      <w:rFonts w:hint="eastAsia"/>
                      <w:szCs w:val="21"/>
                    </w:rPr>
                    <w:t>—</w:t>
                  </w:r>
                </w:p>
              </w:tc>
              <w:tc>
                <w:tcPr>
                  <w:tcW w:w="1001" w:type="dxa"/>
                  <w:vAlign w:val="center"/>
                </w:tcPr>
                <w:p>
                  <w:pPr>
                    <w:jc w:val="center"/>
                    <w:rPr>
                      <w:szCs w:val="21"/>
                    </w:rPr>
                  </w:pPr>
                  <w:r>
                    <w:rPr>
                      <w:rFonts w:hint="eastAsia"/>
                      <w:szCs w:val="21"/>
                    </w:rPr>
                    <w:t>—</w:t>
                  </w:r>
                </w:p>
              </w:tc>
              <w:tc>
                <w:tcPr>
                  <w:tcW w:w="1236"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7.5/2</w:t>
                  </w:r>
                </w:p>
              </w:tc>
              <w:tc>
                <w:tcPr>
                  <w:tcW w:w="1134" w:type="dxa"/>
                  <w:vAlign w:val="center"/>
                </w:tcPr>
                <w:p>
                  <w:pPr>
                    <w:jc w:val="center"/>
                    <w:rPr>
                      <w:szCs w:val="21"/>
                    </w:rPr>
                  </w:pPr>
                  <w:r>
                    <w:rPr>
                      <w:rFonts w:hint="eastAsia"/>
                      <w:szCs w:val="21"/>
                    </w:rPr>
                    <w:t>—</w:t>
                  </w:r>
                </w:p>
              </w:tc>
              <w:tc>
                <w:tcPr>
                  <w:tcW w:w="992" w:type="dxa"/>
                  <w:vAlign w:val="center"/>
                </w:tcPr>
                <w:p>
                  <w:pPr>
                    <w:jc w:val="center"/>
                    <w:rPr>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526" w:type="dxa"/>
                  <w:vAlign w:val="center"/>
                </w:tcPr>
                <w:p>
                  <w:pPr>
                    <w:jc w:val="center"/>
                    <w:rPr>
                      <w:szCs w:val="21"/>
                    </w:rPr>
                  </w:pPr>
                  <w:r>
                    <w:rPr>
                      <w:rFonts w:hint="eastAsia"/>
                      <w:szCs w:val="21"/>
                    </w:rPr>
                    <w:t>站房</w:t>
                  </w:r>
                </w:p>
              </w:tc>
              <w:tc>
                <w:tcPr>
                  <w:tcW w:w="1165" w:type="dxa"/>
                  <w:vAlign w:val="center"/>
                </w:tcPr>
                <w:p>
                  <w:pPr>
                    <w:jc w:val="center"/>
                    <w:rPr>
                      <w:szCs w:val="21"/>
                    </w:rPr>
                  </w:pPr>
                  <w:r>
                    <w:rPr>
                      <w:rFonts w:hint="eastAsia"/>
                      <w:szCs w:val="21"/>
                    </w:rPr>
                    <w:t>40.4/4</w:t>
                  </w:r>
                </w:p>
              </w:tc>
              <w:tc>
                <w:tcPr>
                  <w:tcW w:w="1001" w:type="dxa"/>
                  <w:vAlign w:val="center"/>
                </w:tcPr>
                <w:p>
                  <w:pPr>
                    <w:jc w:val="center"/>
                    <w:rPr>
                      <w:szCs w:val="21"/>
                    </w:rPr>
                  </w:pPr>
                  <w:r>
                    <w:rPr>
                      <w:rFonts w:hint="eastAsia"/>
                      <w:szCs w:val="21"/>
                    </w:rPr>
                    <w:t>39.9/3</w:t>
                  </w:r>
                </w:p>
              </w:tc>
              <w:tc>
                <w:tcPr>
                  <w:tcW w:w="1236" w:type="dxa"/>
                  <w:vAlign w:val="center"/>
                </w:tcPr>
                <w:p>
                  <w:pPr>
                    <w:jc w:val="center"/>
                    <w:rPr>
                      <w:szCs w:val="21"/>
                    </w:rPr>
                  </w:pPr>
                  <w:r>
                    <w:rPr>
                      <w:rFonts w:hint="eastAsia"/>
                      <w:szCs w:val="21"/>
                    </w:rPr>
                    <w:t>47/4</w:t>
                  </w:r>
                </w:p>
              </w:tc>
              <w:tc>
                <w:tcPr>
                  <w:tcW w:w="1134" w:type="dxa"/>
                  <w:vAlign w:val="center"/>
                </w:tcPr>
                <w:p>
                  <w:pPr>
                    <w:jc w:val="center"/>
                    <w:rPr>
                      <w:szCs w:val="21"/>
                    </w:rPr>
                  </w:pPr>
                  <w:r>
                    <w:rPr>
                      <w:rFonts w:hint="eastAsia"/>
                      <w:szCs w:val="21"/>
                    </w:rPr>
                    <w:t>47/3.5</w:t>
                  </w:r>
                </w:p>
              </w:tc>
              <w:tc>
                <w:tcPr>
                  <w:tcW w:w="1134" w:type="dxa"/>
                  <w:vAlign w:val="center"/>
                </w:tcPr>
                <w:p>
                  <w:pPr>
                    <w:jc w:val="center"/>
                    <w:rPr>
                      <w:szCs w:val="21"/>
                    </w:rPr>
                  </w:pPr>
                  <w:r>
                    <w:rPr>
                      <w:rFonts w:hint="eastAsia"/>
                      <w:szCs w:val="21"/>
                    </w:rPr>
                    <w:t>39/5</w:t>
                  </w:r>
                </w:p>
              </w:tc>
              <w:tc>
                <w:tcPr>
                  <w:tcW w:w="1134" w:type="dxa"/>
                  <w:vAlign w:val="center"/>
                </w:tcPr>
                <w:p>
                  <w:pPr>
                    <w:jc w:val="center"/>
                    <w:rPr>
                      <w:szCs w:val="21"/>
                      <w:highlight w:val="yellow"/>
                    </w:rPr>
                  </w:pPr>
                  <w:r>
                    <w:rPr>
                      <w:rFonts w:hint="eastAsia"/>
                      <w:szCs w:val="21"/>
                    </w:rPr>
                    <w:t>13.2</w:t>
                  </w:r>
                  <w:r>
                    <w:rPr>
                      <w:szCs w:val="21"/>
                    </w:rPr>
                    <w:t>/5</w:t>
                  </w:r>
                </w:p>
              </w:tc>
              <w:tc>
                <w:tcPr>
                  <w:tcW w:w="992" w:type="dxa"/>
                  <w:vAlign w:val="center"/>
                </w:tcPr>
                <w:p>
                  <w:pPr>
                    <w:jc w:val="center"/>
                    <w:rPr>
                      <w:szCs w:val="21"/>
                    </w:rPr>
                  </w:pPr>
                  <w:r>
                    <w:rPr>
                      <w:rFonts w:hint="eastAsia"/>
                      <w:szCs w:val="21"/>
                    </w:rPr>
                    <w:t>13.9</w:t>
                  </w:r>
                  <w:r>
                    <w:rPr>
                      <w:szCs w:val="21"/>
                    </w:rPr>
                    <w:t>/</w:t>
                  </w:r>
                  <w:r>
                    <w:rPr>
                      <w:rFonts w:hint="eastAsia"/>
                      <w:szCs w:val="21"/>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526" w:type="dxa"/>
                  <w:vAlign w:val="center"/>
                </w:tcPr>
                <w:p>
                  <w:pPr>
                    <w:jc w:val="center"/>
                    <w:rPr>
                      <w:szCs w:val="21"/>
                    </w:rPr>
                  </w:pPr>
                  <w:r>
                    <w:rPr>
                      <w:rFonts w:hint="eastAsia"/>
                      <w:szCs w:val="21"/>
                    </w:rPr>
                    <w:t>站区围墙</w:t>
                  </w:r>
                </w:p>
              </w:tc>
              <w:tc>
                <w:tcPr>
                  <w:tcW w:w="1165" w:type="dxa"/>
                  <w:vAlign w:val="center"/>
                </w:tcPr>
                <w:p>
                  <w:pPr>
                    <w:jc w:val="center"/>
                    <w:rPr>
                      <w:szCs w:val="21"/>
                    </w:rPr>
                  </w:pPr>
                  <w:r>
                    <w:rPr>
                      <w:rFonts w:hint="eastAsia"/>
                      <w:szCs w:val="21"/>
                    </w:rPr>
                    <w:t>3.95/3</w:t>
                  </w:r>
                </w:p>
              </w:tc>
              <w:tc>
                <w:tcPr>
                  <w:tcW w:w="1001" w:type="dxa"/>
                  <w:vAlign w:val="center"/>
                </w:tcPr>
                <w:p>
                  <w:pPr>
                    <w:jc w:val="center"/>
                    <w:rPr>
                      <w:szCs w:val="21"/>
                    </w:rPr>
                  </w:pPr>
                  <w:r>
                    <w:rPr>
                      <w:rFonts w:hint="eastAsia"/>
                      <w:szCs w:val="21"/>
                    </w:rPr>
                    <w:t>3.4/2</w:t>
                  </w:r>
                </w:p>
              </w:tc>
              <w:tc>
                <w:tcPr>
                  <w:tcW w:w="1236" w:type="dxa"/>
                  <w:vAlign w:val="center"/>
                </w:tcPr>
                <w:p>
                  <w:pPr>
                    <w:jc w:val="center"/>
                    <w:rPr>
                      <w:szCs w:val="21"/>
                    </w:rPr>
                  </w:pPr>
                  <w:r>
                    <w:rPr>
                      <w:rFonts w:hint="eastAsia"/>
                      <w:szCs w:val="21"/>
                    </w:rPr>
                    <w:t>3.4/2①</w:t>
                  </w:r>
                </w:p>
              </w:tc>
              <w:tc>
                <w:tcPr>
                  <w:tcW w:w="1134" w:type="dxa"/>
                  <w:vAlign w:val="center"/>
                </w:tcPr>
                <w:p>
                  <w:pPr>
                    <w:jc w:val="center"/>
                    <w:rPr>
                      <w:szCs w:val="21"/>
                    </w:rPr>
                  </w:pPr>
                  <w:r>
                    <w:rPr>
                      <w:rFonts w:hint="eastAsia"/>
                      <w:szCs w:val="21"/>
                    </w:rPr>
                    <w:t>3.4/2</w:t>
                  </w:r>
                </w:p>
              </w:tc>
              <w:tc>
                <w:tcPr>
                  <w:tcW w:w="1134" w:type="dxa"/>
                  <w:vAlign w:val="center"/>
                </w:tcPr>
                <w:p>
                  <w:pPr>
                    <w:jc w:val="center"/>
                    <w:rPr>
                      <w:szCs w:val="21"/>
                    </w:rPr>
                  </w:pPr>
                  <w:r>
                    <w:rPr>
                      <w:rFonts w:hint="eastAsia"/>
                      <w:szCs w:val="21"/>
                    </w:rPr>
                    <w:t>—</w:t>
                  </w:r>
                </w:p>
              </w:tc>
              <w:tc>
                <w:tcPr>
                  <w:tcW w:w="1134" w:type="dxa"/>
                  <w:vAlign w:val="center"/>
                </w:tcPr>
                <w:p>
                  <w:pPr>
                    <w:jc w:val="center"/>
                    <w:rPr>
                      <w:szCs w:val="21"/>
                    </w:rPr>
                  </w:pPr>
                  <w:r>
                    <w:rPr>
                      <w:rFonts w:hint="eastAsia"/>
                      <w:szCs w:val="21"/>
                    </w:rPr>
                    <w:t>—</w:t>
                  </w:r>
                </w:p>
              </w:tc>
              <w:tc>
                <w:tcPr>
                  <w:tcW w:w="992" w:type="dxa"/>
                  <w:vAlign w:val="center"/>
                </w:tcPr>
                <w:p>
                  <w:pPr>
                    <w:jc w:val="center"/>
                    <w:rPr>
                      <w:szCs w:val="21"/>
                    </w:rPr>
                  </w:pPr>
                  <w:r>
                    <w:rPr>
                      <w:rFonts w:hint="eastAsia"/>
                      <w:szCs w:val="21"/>
                    </w:rPr>
                    <w:t>—</w:t>
                  </w:r>
                </w:p>
              </w:tc>
            </w:tr>
          </w:tbl>
          <w:p>
            <w:pPr>
              <w:ind w:firstLine="420" w:firstLineChars="200"/>
              <w:jc w:val="left"/>
              <w:rPr>
                <w:rFonts w:ascii="Times New Roman" w:hAnsi="Times New Roman"/>
                <w:b/>
                <w:szCs w:val="21"/>
              </w:rPr>
            </w:pPr>
            <w:r>
              <w:rPr>
                <w:rFonts w:hint="eastAsia" w:ascii="Times New Roman" w:hAnsi="Times New Roman"/>
                <w:b/>
                <w:szCs w:val="21"/>
              </w:rPr>
              <w:t>注：</w:t>
            </w:r>
          </w:p>
          <w:p>
            <w:pPr>
              <w:ind w:firstLine="420" w:firstLineChars="200"/>
              <w:jc w:val="left"/>
              <w:rPr>
                <w:rFonts w:ascii="Times New Roman" w:hAnsi="Times New Roman"/>
                <w:b/>
                <w:szCs w:val="21"/>
              </w:rPr>
            </w:pPr>
            <w:r>
              <w:rPr>
                <w:rFonts w:hint="eastAsia" w:ascii="Times New Roman" w:hAnsi="Times New Roman"/>
                <w:b/>
                <w:szCs w:val="21"/>
              </w:rPr>
              <w:t>1、当卸油采用油气回收系统时，汽油通气管管口与站内围墙距离不应小于2m。</w:t>
            </w:r>
          </w:p>
          <w:p>
            <w:pPr>
              <w:ind w:firstLine="420" w:firstLineChars="200"/>
              <w:jc w:val="left"/>
              <w:rPr>
                <w:rFonts w:ascii="Times New Roman" w:hAnsi="Times New Roman"/>
                <w:b/>
                <w:szCs w:val="21"/>
              </w:rPr>
            </w:pPr>
            <w:r>
              <w:rPr>
                <w:rFonts w:hint="eastAsia" w:ascii="Times New Roman" w:hAnsi="Times New Roman"/>
                <w:b/>
                <w:szCs w:val="21"/>
              </w:rPr>
              <w:t>2、表内数据“/”以下的数据为《汽车加油加气站设计与施工规范》GB50156-2012（2014版）要求的数据； “/”以上的数据为拟建数据。</w:t>
            </w:r>
          </w:p>
          <w:p>
            <w:pPr>
              <w:spacing w:line="360" w:lineRule="auto"/>
              <w:ind w:firstLine="560" w:firstLineChars="200"/>
              <w:jc w:val="left"/>
              <w:rPr>
                <w:rFonts w:ascii="Times New Roman" w:hAnsi="Times New Roman"/>
                <w:sz w:val="28"/>
                <w:szCs w:val="28"/>
              </w:rPr>
            </w:pPr>
            <w:r>
              <w:rPr>
                <w:rFonts w:ascii="Times New Roman" w:hAnsi="Times New Roman"/>
                <w:sz w:val="28"/>
                <w:szCs w:val="28"/>
              </w:rPr>
              <w:t>由上表分析可知，站内设施之间防火间距离符合《汽车加油加气站设计与施工规范》GB50156-2012（2014 年版）的要求。</w:t>
            </w:r>
          </w:p>
          <w:p>
            <w:pPr>
              <w:spacing w:line="360" w:lineRule="auto"/>
              <w:ind w:firstLine="560" w:firstLineChars="200"/>
              <w:jc w:val="left"/>
              <w:rPr>
                <w:rFonts w:ascii="Times New Roman" w:hAnsi="Times New Roman"/>
                <w:sz w:val="28"/>
                <w:szCs w:val="28"/>
              </w:rPr>
            </w:pPr>
            <w:r>
              <w:rPr>
                <w:rFonts w:hint="eastAsia" w:ascii="Times New Roman" w:hAnsi="Times New Roman"/>
                <w:sz w:val="28"/>
                <w:szCs w:val="28"/>
              </w:rPr>
              <w:t>综上</w:t>
            </w:r>
            <w:r>
              <w:rPr>
                <w:rFonts w:ascii="Times New Roman" w:hAnsi="Times New Roman"/>
                <w:sz w:val="28"/>
                <w:szCs w:val="28"/>
              </w:rPr>
              <w:t>分析可知，</w:t>
            </w:r>
            <w:r>
              <w:rPr>
                <w:rFonts w:hint="eastAsia" w:ascii="Times New Roman" w:hAnsi="Times New Roman"/>
                <w:sz w:val="28"/>
                <w:szCs w:val="28"/>
              </w:rPr>
              <w:t>新建加油站的站内设施与站外建、构筑物的安全距离满足《汽车加油加气站设计与施工规范》GB50156-2012(2014年版）的要求</w:t>
            </w:r>
            <w:r>
              <w:rPr>
                <w:rFonts w:ascii="Times New Roman" w:hAnsi="Times New Roman"/>
                <w:sz w:val="28"/>
                <w:szCs w:val="28"/>
              </w:rPr>
              <w:t>消防间距均满足</w:t>
            </w:r>
            <w:r>
              <w:rPr>
                <w:rFonts w:hint="eastAsia" w:ascii="Times New Roman" w:hAnsi="Times New Roman"/>
                <w:sz w:val="28"/>
                <w:szCs w:val="28"/>
              </w:rPr>
              <w:t>《汽车加油加气站设计与施工规范》GB50156-2012（2014 年版）的要求，</w:t>
            </w:r>
            <w:r>
              <w:rPr>
                <w:rFonts w:ascii="Times New Roman" w:hAnsi="Times New Roman"/>
                <w:sz w:val="28"/>
                <w:szCs w:val="28"/>
              </w:rPr>
              <w:t>加油站平面布置合理。</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7 运输</w:t>
            </w:r>
          </w:p>
          <w:p>
            <w:pPr>
              <w:spacing w:line="360" w:lineRule="auto"/>
              <w:ind w:firstLine="560" w:firstLineChars="200"/>
              <w:rPr>
                <w:rFonts w:ascii="Times New Roman" w:hAnsi="Times New Roman"/>
                <w:sz w:val="28"/>
                <w:szCs w:val="28"/>
              </w:rPr>
            </w:pPr>
            <w:r>
              <w:rPr>
                <w:rFonts w:ascii="Times New Roman" w:hAnsi="Times New Roman"/>
                <w:sz w:val="28"/>
                <w:szCs w:val="28"/>
              </w:rPr>
              <w:t>本项目原料</w:t>
            </w:r>
            <w:r>
              <w:rPr>
                <w:rFonts w:hint="eastAsia" w:ascii="Times New Roman" w:hAnsi="Times New Roman"/>
                <w:sz w:val="28"/>
                <w:szCs w:val="28"/>
              </w:rPr>
              <w:t>既是产品，均为外购，汽油和柴油</w:t>
            </w:r>
            <w:r>
              <w:rPr>
                <w:rFonts w:ascii="Times New Roman" w:hAnsi="Times New Roman"/>
                <w:sz w:val="28"/>
                <w:szCs w:val="28"/>
              </w:rPr>
              <w:t>采用汽车运输</w:t>
            </w:r>
            <w:r>
              <w:rPr>
                <w:rFonts w:hint="eastAsia" w:ascii="Times New Roman" w:hAnsi="Times New Roman"/>
                <w:sz w:val="28"/>
                <w:szCs w:val="28"/>
              </w:rPr>
              <w:t>，由有相应运输资质单位运输，本项目不负责运输</w:t>
            </w:r>
            <w:r>
              <w:rPr>
                <w:rFonts w:ascii="Times New Roman" w:hAnsi="Times New Roman"/>
                <w:sz w:val="28"/>
                <w:szCs w:val="28"/>
              </w:rPr>
              <w:t>。</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三、公用工程</w:t>
            </w:r>
          </w:p>
          <w:p>
            <w:pPr>
              <w:spacing w:line="360" w:lineRule="auto"/>
              <w:ind w:firstLine="560" w:firstLineChars="200"/>
              <w:rPr>
                <w:rFonts w:ascii="Times New Roman" w:hAnsi="Times New Roman"/>
                <w:sz w:val="28"/>
                <w:szCs w:val="28"/>
              </w:rPr>
            </w:pPr>
            <w:r>
              <w:rPr>
                <w:rFonts w:ascii="Times New Roman" w:hAnsi="Times New Roman"/>
                <w:sz w:val="28"/>
                <w:szCs w:val="28"/>
              </w:rPr>
              <w:t>1 给水</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项目无生产供水；生活用水来源为自打的地下水井，1眼，饮用水为外购桶装矿泉水</w:t>
            </w:r>
            <w:r>
              <w:rPr>
                <w:rFonts w:ascii="Times New Roman" w:hAnsi="Times New Roman"/>
                <w:sz w:val="28"/>
                <w:szCs w:val="28"/>
              </w:rPr>
              <w:t>。</w:t>
            </w:r>
          </w:p>
          <w:p>
            <w:pPr>
              <w:spacing w:line="360" w:lineRule="auto"/>
              <w:ind w:firstLine="560" w:firstLineChars="200"/>
              <w:rPr>
                <w:rFonts w:ascii="Times New Roman" w:hAnsi="Times New Roman"/>
                <w:sz w:val="28"/>
                <w:szCs w:val="28"/>
              </w:rPr>
            </w:pPr>
            <w:r>
              <w:rPr>
                <w:rFonts w:ascii="Times New Roman" w:hAnsi="Times New Roman"/>
                <w:sz w:val="28"/>
                <w:szCs w:val="28"/>
              </w:rPr>
              <w:t>本项目员工</w:t>
            </w:r>
            <w:r>
              <w:rPr>
                <w:rFonts w:hint="eastAsia" w:ascii="Times New Roman" w:hAnsi="Times New Roman"/>
                <w:sz w:val="28"/>
                <w:szCs w:val="28"/>
              </w:rPr>
              <w:t>8</w:t>
            </w:r>
            <w:r>
              <w:rPr>
                <w:rFonts w:ascii="Times New Roman" w:hAnsi="Times New Roman"/>
                <w:sz w:val="28"/>
                <w:szCs w:val="28"/>
              </w:rPr>
              <w:t>人，参考黑龙江省地方标准《用水定额》（DB23/T727</w:t>
            </w:r>
            <w:r>
              <w:rPr>
                <w:rFonts w:hint="eastAsia" w:ascii="Times New Roman" w:hAnsi="Times New Roman"/>
                <w:sz w:val="28"/>
                <w:szCs w:val="28"/>
              </w:rPr>
              <w:t>—</w:t>
            </w:r>
            <w:r>
              <w:rPr>
                <w:rFonts w:ascii="Times New Roman" w:hAnsi="Times New Roman"/>
                <w:sz w:val="28"/>
                <w:szCs w:val="28"/>
              </w:rPr>
              <w:t>201</w:t>
            </w:r>
            <w:r>
              <w:rPr>
                <w:rFonts w:hint="eastAsia" w:ascii="Times New Roman" w:hAnsi="Times New Roman"/>
                <w:sz w:val="28"/>
                <w:szCs w:val="28"/>
              </w:rPr>
              <w:t>7</w:t>
            </w:r>
            <w:r>
              <w:rPr>
                <w:rFonts w:ascii="Times New Roman" w:hAnsi="Times New Roman"/>
                <w:sz w:val="28"/>
                <w:szCs w:val="28"/>
              </w:rPr>
              <w:t>），参照办公用水量以30 L/人•天计，职工生活用水量为0.</w:t>
            </w:r>
            <w:r>
              <w:rPr>
                <w:rFonts w:hint="eastAsia" w:ascii="Times New Roman" w:hAnsi="Times New Roman"/>
                <w:sz w:val="28"/>
                <w:szCs w:val="28"/>
              </w:rPr>
              <w:t>24</w:t>
            </w:r>
            <w:r>
              <w:rPr>
                <w:rFonts w:ascii="Times New Roman" w:hAnsi="Times New Roman"/>
                <w:sz w:val="28"/>
                <w:szCs w:val="28"/>
              </w:rPr>
              <w:t xml:space="preserve"> m</w:t>
            </w:r>
            <w:r>
              <w:rPr>
                <w:rFonts w:ascii="Times New Roman" w:hAnsi="Times New Roman"/>
                <w:sz w:val="28"/>
                <w:szCs w:val="28"/>
                <w:vertAlign w:val="superscript"/>
              </w:rPr>
              <w:t>3</w:t>
            </w:r>
            <w:r>
              <w:rPr>
                <w:rFonts w:ascii="Times New Roman" w:hAnsi="Times New Roman"/>
                <w:sz w:val="28"/>
                <w:szCs w:val="28"/>
              </w:rPr>
              <w:t>/d（约</w:t>
            </w:r>
            <w:r>
              <w:rPr>
                <w:rFonts w:hint="eastAsia" w:ascii="Times New Roman" w:hAnsi="Times New Roman"/>
                <w:sz w:val="28"/>
                <w:szCs w:val="28"/>
              </w:rPr>
              <w:t>87.6</w:t>
            </w:r>
            <w:r>
              <w:rPr>
                <w:rFonts w:ascii="Times New Roman" w:hAnsi="Times New Roman"/>
                <w:sz w:val="28"/>
                <w:szCs w:val="28"/>
              </w:rPr>
              <w:t xml:space="preserve"> m</w:t>
            </w:r>
            <w:r>
              <w:rPr>
                <w:rFonts w:ascii="Times New Roman" w:hAnsi="Times New Roman"/>
                <w:sz w:val="28"/>
                <w:szCs w:val="28"/>
                <w:vertAlign w:val="superscript"/>
              </w:rPr>
              <w:t>3</w:t>
            </w:r>
            <w:r>
              <w:rPr>
                <w:rFonts w:ascii="Times New Roman" w:hAnsi="Times New Roman"/>
                <w:sz w:val="28"/>
                <w:szCs w:val="28"/>
              </w:rPr>
              <w:t>/a）。</w:t>
            </w:r>
          </w:p>
          <w:p>
            <w:pPr>
              <w:spacing w:line="360" w:lineRule="auto"/>
              <w:ind w:firstLine="560" w:firstLineChars="200"/>
              <w:rPr>
                <w:rFonts w:ascii="Times New Roman" w:hAnsi="Times New Roman"/>
                <w:sz w:val="28"/>
                <w:szCs w:val="28"/>
              </w:rPr>
            </w:pPr>
            <w:r>
              <w:rPr>
                <w:rFonts w:ascii="Times New Roman" w:hAnsi="Times New Roman"/>
                <w:sz w:val="28"/>
                <w:szCs w:val="28"/>
              </w:rPr>
              <w:t>2 排水</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生活废水排至站区的防渗旱厕，定期清掏，外运堆肥。</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本项目无生产废水；生活</w:t>
            </w:r>
            <w:r>
              <w:rPr>
                <w:rFonts w:ascii="Times New Roman" w:hAnsi="Times New Roman" w:eastAsiaTheme="minorEastAsia"/>
                <w:sz w:val="28"/>
                <w:szCs w:val="28"/>
              </w:rPr>
              <w:t>污水排放量按其用水量的80%计，</w:t>
            </w:r>
            <w:r>
              <w:rPr>
                <w:rFonts w:hint="eastAsia" w:ascii="Times New Roman" w:hAnsi="Times New Roman" w:eastAsiaTheme="minorEastAsia"/>
                <w:sz w:val="28"/>
                <w:szCs w:val="28"/>
              </w:rPr>
              <w:t>则</w:t>
            </w:r>
            <w:r>
              <w:rPr>
                <w:rFonts w:ascii="Times New Roman" w:hAnsi="Times New Roman" w:eastAsiaTheme="minorEastAsia"/>
                <w:sz w:val="28"/>
                <w:szCs w:val="28"/>
              </w:rPr>
              <w:t>污水产生量0.1</w:t>
            </w:r>
            <w:r>
              <w:rPr>
                <w:rFonts w:hint="eastAsia" w:ascii="Times New Roman" w:hAnsi="Times New Roman" w:eastAsiaTheme="minorEastAsia"/>
                <w:sz w:val="28"/>
                <w:szCs w:val="28"/>
              </w:rPr>
              <w:t>9</w:t>
            </w:r>
            <w:r>
              <w:rPr>
                <w:rFonts w:ascii="Times New Roman" w:hAnsi="Times New Roman" w:eastAsiaTheme="minorEastAsia"/>
                <w:sz w:val="28"/>
                <w:szCs w:val="28"/>
              </w:rPr>
              <w:t xml:space="preserve"> m</w:t>
            </w:r>
            <w:r>
              <w:rPr>
                <w:rFonts w:ascii="Times New Roman" w:hAnsi="Times New Roman" w:eastAsiaTheme="minorEastAsia"/>
                <w:sz w:val="28"/>
                <w:szCs w:val="28"/>
                <w:vertAlign w:val="superscript"/>
              </w:rPr>
              <w:t>3</w:t>
            </w:r>
            <w:r>
              <w:rPr>
                <w:rFonts w:ascii="Times New Roman" w:hAnsi="Times New Roman" w:eastAsiaTheme="minorEastAsia"/>
                <w:sz w:val="28"/>
                <w:szCs w:val="28"/>
              </w:rPr>
              <w:t>/d，</w:t>
            </w:r>
            <w:r>
              <w:rPr>
                <w:rFonts w:hint="eastAsia" w:ascii="Times New Roman" w:hAnsi="Times New Roman" w:eastAsiaTheme="minorEastAsia"/>
                <w:sz w:val="28"/>
                <w:szCs w:val="28"/>
              </w:rPr>
              <w:t>70.8</w:t>
            </w:r>
            <w:r>
              <w:rPr>
                <w:rFonts w:ascii="Times New Roman" w:hAnsi="Times New Roman" w:eastAsiaTheme="minorEastAsia"/>
                <w:sz w:val="28"/>
                <w:szCs w:val="28"/>
              </w:rPr>
              <w:t xml:space="preserve"> t/a。污水中主要污染物浓度COD</w:t>
            </w:r>
            <w:r>
              <w:rPr>
                <w:rFonts w:ascii="Times New Roman" w:hAnsi="Times New Roman" w:eastAsiaTheme="minorEastAsia"/>
                <w:sz w:val="28"/>
                <w:szCs w:val="28"/>
                <w:vertAlign w:val="subscript"/>
              </w:rPr>
              <w:t xml:space="preserve"> </w:t>
            </w:r>
            <w:r>
              <w:rPr>
                <w:rFonts w:ascii="Times New Roman" w:hAnsi="Times New Roman" w:eastAsiaTheme="minorEastAsia"/>
                <w:sz w:val="28"/>
                <w:szCs w:val="28"/>
              </w:rPr>
              <w:t>300mg/L、氨氮25 mg/L、SS 200mg/L。</w:t>
            </w:r>
          </w:p>
          <w:p>
            <w:pPr>
              <w:spacing w:line="360" w:lineRule="auto"/>
              <w:ind w:firstLine="560" w:firstLineChars="200"/>
              <w:rPr>
                <w:rFonts w:ascii="Times New Roman" w:hAnsi="Times New Roman"/>
                <w:sz w:val="28"/>
                <w:szCs w:val="28"/>
              </w:rPr>
            </w:pPr>
            <w:r>
              <w:rPr>
                <w:rFonts w:ascii="Times New Roman" w:hAnsi="Times New Roman"/>
                <w:sz w:val="28"/>
                <w:szCs w:val="28"/>
              </w:rPr>
              <w:t>3 供暖、通风</w:t>
            </w:r>
          </w:p>
          <w:p>
            <w:pPr>
              <w:spacing w:line="360" w:lineRule="auto"/>
              <w:ind w:firstLine="560" w:firstLineChars="200"/>
              <w:rPr>
                <w:rFonts w:ascii="Times New Roman" w:hAnsi="Times New Roman"/>
                <w:sz w:val="28"/>
                <w:szCs w:val="28"/>
              </w:rPr>
            </w:pPr>
            <w:r>
              <w:rPr>
                <w:rFonts w:ascii="Times New Roman" w:hAnsi="Times New Roman"/>
                <w:sz w:val="28"/>
                <w:szCs w:val="28"/>
              </w:rPr>
              <w:t>该站供暖采用电锅炉供暖，站房所有房间采取自然通风形式。</w:t>
            </w:r>
          </w:p>
          <w:p>
            <w:pPr>
              <w:spacing w:line="360" w:lineRule="auto"/>
              <w:ind w:firstLine="560" w:firstLineChars="200"/>
              <w:rPr>
                <w:rFonts w:ascii="Times New Roman" w:hAnsi="Times New Roman"/>
                <w:sz w:val="28"/>
                <w:szCs w:val="28"/>
              </w:rPr>
            </w:pPr>
            <w:r>
              <w:rPr>
                <w:rFonts w:ascii="Times New Roman" w:hAnsi="Times New Roman"/>
                <w:sz w:val="28"/>
                <w:szCs w:val="28"/>
              </w:rPr>
              <w:t>4 供电</w:t>
            </w:r>
          </w:p>
          <w:p>
            <w:pPr>
              <w:spacing w:line="360" w:lineRule="auto"/>
              <w:ind w:firstLine="560" w:firstLineChars="200"/>
              <w:rPr>
                <w:rFonts w:ascii="Times New Roman" w:hAnsi="Times New Roman"/>
                <w:sz w:val="28"/>
                <w:szCs w:val="28"/>
              </w:rPr>
            </w:pPr>
            <w:r>
              <w:rPr>
                <w:rFonts w:ascii="Times New Roman" w:hAnsi="Times New Roman"/>
                <w:sz w:val="28"/>
                <w:szCs w:val="28"/>
              </w:rPr>
              <w:t>由</w:t>
            </w:r>
            <w:r>
              <w:rPr>
                <w:rFonts w:hint="eastAsia" w:ascii="Times New Roman" w:hAnsi="Times New Roman"/>
                <w:sz w:val="28"/>
                <w:szCs w:val="28"/>
              </w:rPr>
              <w:t>同江市</w:t>
            </w:r>
            <w:r>
              <w:rPr>
                <w:rFonts w:ascii="Times New Roman" w:hAnsi="Times New Roman"/>
                <w:sz w:val="28"/>
                <w:szCs w:val="28"/>
              </w:rPr>
              <w:t>当地电业局提供。</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四、消防</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根据《汽车加油加气站设计与施工规范》GB50156-2012（2014版）及《建筑设计防火规范》（GB50016-2014 2018版）的规定，本站配备必要的灭火器材。配备相关消防设施如下表</w:t>
            </w:r>
            <w:r>
              <w:rPr>
                <w:rFonts w:ascii="Times New Roman" w:hAnsi="Times New Roman"/>
                <w:sz w:val="28"/>
                <w:szCs w:val="28"/>
              </w:rPr>
              <w:t>。</w:t>
            </w:r>
          </w:p>
          <w:p>
            <w:pPr>
              <w:spacing w:line="360" w:lineRule="auto"/>
              <w:jc w:val="center"/>
              <w:rPr>
                <w:rFonts w:ascii="Times New Roman" w:hAnsi="Times New Roman"/>
                <w:b/>
                <w:sz w:val="24"/>
                <w:szCs w:val="24"/>
              </w:rPr>
            </w:pPr>
            <w:r>
              <w:rPr>
                <w:rFonts w:ascii="Times New Roman" w:hAnsi="Times New Roman"/>
                <w:b/>
                <w:sz w:val="24"/>
                <w:szCs w:val="24"/>
              </w:rPr>
              <w:t>表8    消防设施一览表</w:t>
            </w:r>
          </w:p>
          <w:tbl>
            <w:tblPr>
              <w:tblStyle w:val="26"/>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2149"/>
              <w:gridCol w:w="1605"/>
              <w:gridCol w:w="1478"/>
              <w:gridCol w:w="1082"/>
              <w:gridCol w:w="187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序号</w:t>
                  </w:r>
                </w:p>
              </w:tc>
              <w:tc>
                <w:tcPr>
                  <w:tcW w:w="2149" w:type="dxa"/>
                  <w:tcBorders>
                    <w:tl2br w:val="nil"/>
                    <w:tr2bl w:val="nil"/>
                  </w:tcBorders>
                  <w:vAlign w:val="center"/>
                </w:tcPr>
                <w:p>
                  <w:pPr>
                    <w:jc w:val="center"/>
                  </w:pPr>
                  <w:r>
                    <w:t>名称</w:t>
                  </w:r>
                </w:p>
              </w:tc>
              <w:tc>
                <w:tcPr>
                  <w:tcW w:w="1605" w:type="dxa"/>
                  <w:tcBorders>
                    <w:tl2br w:val="nil"/>
                    <w:tr2bl w:val="nil"/>
                  </w:tcBorders>
                  <w:vAlign w:val="center"/>
                </w:tcPr>
                <w:p>
                  <w:pPr>
                    <w:jc w:val="center"/>
                  </w:pPr>
                  <w:r>
                    <w:t>规格</w:t>
                  </w:r>
                </w:p>
              </w:tc>
              <w:tc>
                <w:tcPr>
                  <w:tcW w:w="1478" w:type="dxa"/>
                  <w:tcBorders>
                    <w:tl2br w:val="nil"/>
                    <w:tr2bl w:val="nil"/>
                  </w:tcBorders>
                  <w:vAlign w:val="center"/>
                </w:tcPr>
                <w:p>
                  <w:pPr>
                    <w:jc w:val="center"/>
                  </w:pPr>
                  <w:r>
                    <w:t>单位</w:t>
                  </w:r>
                </w:p>
              </w:tc>
              <w:tc>
                <w:tcPr>
                  <w:tcW w:w="1082" w:type="dxa"/>
                  <w:tcBorders>
                    <w:tl2br w:val="nil"/>
                    <w:tr2bl w:val="nil"/>
                  </w:tcBorders>
                  <w:vAlign w:val="center"/>
                </w:tcPr>
                <w:p>
                  <w:pPr>
                    <w:jc w:val="center"/>
                  </w:pPr>
                  <w:r>
                    <w:t>数量</w:t>
                  </w:r>
                </w:p>
              </w:tc>
              <w:tc>
                <w:tcPr>
                  <w:tcW w:w="1871" w:type="dxa"/>
                  <w:tcBorders>
                    <w:tl2br w:val="nil"/>
                    <w:tr2bl w:val="nil"/>
                  </w:tcBorders>
                  <w:vAlign w:val="center"/>
                </w:tcPr>
                <w:p>
                  <w:pPr>
                    <w:jc w:val="center"/>
                  </w:pPr>
                  <w: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1</w:t>
                  </w:r>
                </w:p>
              </w:tc>
              <w:tc>
                <w:tcPr>
                  <w:tcW w:w="2149" w:type="dxa"/>
                  <w:tcBorders>
                    <w:tl2br w:val="nil"/>
                    <w:tr2bl w:val="nil"/>
                  </w:tcBorders>
                  <w:vAlign w:val="center"/>
                </w:tcPr>
                <w:p>
                  <w:pPr>
                    <w:jc w:val="center"/>
                  </w:pPr>
                  <w:r>
                    <w:t>手提式干粉灭火器</w:t>
                  </w:r>
                </w:p>
              </w:tc>
              <w:tc>
                <w:tcPr>
                  <w:tcW w:w="1605" w:type="dxa"/>
                  <w:tcBorders>
                    <w:tl2br w:val="nil"/>
                    <w:tr2bl w:val="nil"/>
                  </w:tcBorders>
                  <w:vAlign w:val="center"/>
                </w:tcPr>
                <w:p>
                  <w:pPr>
                    <w:jc w:val="center"/>
                  </w:pPr>
                  <w:r>
                    <w:t>4kg</w:t>
                  </w:r>
                </w:p>
              </w:tc>
              <w:tc>
                <w:tcPr>
                  <w:tcW w:w="1478" w:type="dxa"/>
                  <w:tcBorders>
                    <w:tl2br w:val="nil"/>
                    <w:tr2bl w:val="nil"/>
                  </w:tcBorders>
                  <w:vAlign w:val="center"/>
                </w:tcPr>
                <w:p>
                  <w:pPr>
                    <w:jc w:val="center"/>
                  </w:pPr>
                  <w:r>
                    <w:t>只</w:t>
                  </w:r>
                </w:p>
              </w:tc>
              <w:tc>
                <w:tcPr>
                  <w:tcW w:w="1082" w:type="dxa"/>
                  <w:tcBorders>
                    <w:tl2br w:val="nil"/>
                    <w:tr2bl w:val="nil"/>
                  </w:tcBorders>
                  <w:vAlign w:val="center"/>
                </w:tcPr>
                <w:p>
                  <w:pPr>
                    <w:jc w:val="center"/>
                  </w:pPr>
                  <w:r>
                    <w:rPr>
                      <w:rFonts w:hint="eastAsia"/>
                    </w:rPr>
                    <w:t>4</w:t>
                  </w:r>
                </w:p>
              </w:tc>
              <w:tc>
                <w:tcPr>
                  <w:tcW w:w="1871" w:type="dxa"/>
                  <w:tcBorders>
                    <w:tl2br w:val="nil"/>
                    <w:tr2bl w:val="nil"/>
                  </w:tcBorders>
                  <w:vAlign w:val="center"/>
                </w:tcPr>
                <w:p>
                  <w:pPr>
                    <w:jc w:val="center"/>
                  </w:pPr>
                  <w:r>
                    <w:t>加油岛</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2</w:t>
                  </w:r>
                </w:p>
              </w:tc>
              <w:tc>
                <w:tcPr>
                  <w:tcW w:w="2149" w:type="dxa"/>
                  <w:tcBorders>
                    <w:tl2br w:val="nil"/>
                    <w:tr2bl w:val="nil"/>
                  </w:tcBorders>
                  <w:vAlign w:val="center"/>
                </w:tcPr>
                <w:p>
                  <w:pPr>
                    <w:jc w:val="center"/>
                  </w:pPr>
                  <w:r>
                    <w:t>手提式干粉灭火器</w:t>
                  </w:r>
                </w:p>
              </w:tc>
              <w:tc>
                <w:tcPr>
                  <w:tcW w:w="1605" w:type="dxa"/>
                  <w:tcBorders>
                    <w:tl2br w:val="nil"/>
                    <w:tr2bl w:val="nil"/>
                  </w:tcBorders>
                  <w:vAlign w:val="center"/>
                </w:tcPr>
                <w:p>
                  <w:pPr>
                    <w:jc w:val="center"/>
                  </w:pPr>
                  <w:r>
                    <w:rPr>
                      <w:rFonts w:hint="eastAsia"/>
                    </w:rPr>
                    <w:t>4</w:t>
                  </w:r>
                  <w:r>
                    <w:t>kg</w:t>
                  </w:r>
                </w:p>
              </w:tc>
              <w:tc>
                <w:tcPr>
                  <w:tcW w:w="1478" w:type="dxa"/>
                  <w:tcBorders>
                    <w:tl2br w:val="nil"/>
                    <w:tr2bl w:val="nil"/>
                  </w:tcBorders>
                  <w:vAlign w:val="center"/>
                </w:tcPr>
                <w:p>
                  <w:pPr>
                    <w:jc w:val="center"/>
                  </w:pPr>
                  <w:r>
                    <w:t>只</w:t>
                  </w:r>
                </w:p>
              </w:tc>
              <w:tc>
                <w:tcPr>
                  <w:tcW w:w="1082" w:type="dxa"/>
                  <w:tcBorders>
                    <w:tl2br w:val="nil"/>
                    <w:tr2bl w:val="nil"/>
                  </w:tcBorders>
                  <w:vAlign w:val="center"/>
                </w:tcPr>
                <w:p>
                  <w:pPr>
                    <w:jc w:val="center"/>
                  </w:pPr>
                  <w:r>
                    <w:rPr>
                      <w:rFonts w:hint="eastAsia"/>
                    </w:rPr>
                    <w:t>6</w:t>
                  </w:r>
                </w:p>
              </w:tc>
              <w:tc>
                <w:tcPr>
                  <w:tcW w:w="1871" w:type="dxa"/>
                  <w:tcBorders>
                    <w:tl2br w:val="nil"/>
                    <w:tr2bl w:val="nil"/>
                  </w:tcBorders>
                  <w:vAlign w:val="center"/>
                </w:tcPr>
                <w:p>
                  <w:pPr>
                    <w:jc w:val="center"/>
                  </w:pPr>
                  <w:r>
                    <w:t>站房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3</w:t>
                  </w:r>
                </w:p>
              </w:tc>
              <w:tc>
                <w:tcPr>
                  <w:tcW w:w="2149" w:type="dxa"/>
                  <w:tcBorders>
                    <w:tl2br w:val="nil"/>
                    <w:tr2bl w:val="nil"/>
                  </w:tcBorders>
                  <w:vAlign w:val="center"/>
                </w:tcPr>
                <w:p>
                  <w:pPr>
                    <w:jc w:val="center"/>
                  </w:pPr>
                  <w:r>
                    <w:t>推车式灭火器</w:t>
                  </w:r>
                </w:p>
              </w:tc>
              <w:tc>
                <w:tcPr>
                  <w:tcW w:w="1605" w:type="dxa"/>
                  <w:tcBorders>
                    <w:tl2br w:val="nil"/>
                    <w:tr2bl w:val="nil"/>
                  </w:tcBorders>
                  <w:vAlign w:val="center"/>
                </w:tcPr>
                <w:p>
                  <w:pPr>
                    <w:jc w:val="center"/>
                  </w:pPr>
                  <w:r>
                    <w:t>35kg</w:t>
                  </w:r>
                </w:p>
              </w:tc>
              <w:tc>
                <w:tcPr>
                  <w:tcW w:w="1478" w:type="dxa"/>
                  <w:tcBorders>
                    <w:tl2br w:val="nil"/>
                    <w:tr2bl w:val="nil"/>
                  </w:tcBorders>
                  <w:vAlign w:val="center"/>
                </w:tcPr>
                <w:p>
                  <w:pPr>
                    <w:jc w:val="center"/>
                  </w:pPr>
                  <w:r>
                    <w:t>个</w:t>
                  </w:r>
                </w:p>
              </w:tc>
              <w:tc>
                <w:tcPr>
                  <w:tcW w:w="1082" w:type="dxa"/>
                  <w:tcBorders>
                    <w:tl2br w:val="nil"/>
                    <w:tr2bl w:val="nil"/>
                  </w:tcBorders>
                  <w:vAlign w:val="center"/>
                </w:tcPr>
                <w:p>
                  <w:pPr>
                    <w:jc w:val="center"/>
                  </w:pPr>
                  <w:r>
                    <w:t>1</w:t>
                  </w:r>
                </w:p>
              </w:tc>
              <w:tc>
                <w:tcPr>
                  <w:tcW w:w="1871" w:type="dxa"/>
                  <w:tcBorders>
                    <w:tl2br w:val="nil"/>
                    <w:tr2bl w:val="nil"/>
                  </w:tcBorders>
                  <w:vAlign w:val="center"/>
                </w:tcPr>
                <w:p>
                  <w:pPr>
                    <w:jc w:val="center"/>
                  </w:pPr>
                  <w:r>
                    <w:t>罐区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4</w:t>
                  </w:r>
                </w:p>
              </w:tc>
              <w:tc>
                <w:tcPr>
                  <w:tcW w:w="2149" w:type="dxa"/>
                  <w:tcBorders>
                    <w:tl2br w:val="nil"/>
                    <w:tr2bl w:val="nil"/>
                  </w:tcBorders>
                  <w:vAlign w:val="center"/>
                </w:tcPr>
                <w:p>
                  <w:pPr>
                    <w:jc w:val="center"/>
                  </w:pPr>
                  <w:r>
                    <w:t>灭火毯</w:t>
                  </w:r>
                </w:p>
              </w:tc>
              <w:tc>
                <w:tcPr>
                  <w:tcW w:w="1605" w:type="dxa"/>
                  <w:tcBorders>
                    <w:tl2br w:val="nil"/>
                    <w:tr2bl w:val="nil"/>
                  </w:tcBorders>
                  <w:vAlign w:val="center"/>
                </w:tcPr>
                <w:p>
                  <w:pPr>
                    <w:jc w:val="center"/>
                  </w:pPr>
                  <w:r>
                    <w:t>—</w:t>
                  </w:r>
                </w:p>
              </w:tc>
              <w:tc>
                <w:tcPr>
                  <w:tcW w:w="1478" w:type="dxa"/>
                  <w:tcBorders>
                    <w:tl2br w:val="nil"/>
                    <w:tr2bl w:val="nil"/>
                  </w:tcBorders>
                  <w:vAlign w:val="center"/>
                </w:tcPr>
                <w:p>
                  <w:pPr>
                    <w:jc w:val="center"/>
                  </w:pPr>
                  <w:r>
                    <w:t>块</w:t>
                  </w:r>
                </w:p>
              </w:tc>
              <w:tc>
                <w:tcPr>
                  <w:tcW w:w="1082" w:type="dxa"/>
                  <w:tcBorders>
                    <w:tl2br w:val="nil"/>
                    <w:tr2bl w:val="nil"/>
                  </w:tcBorders>
                  <w:vAlign w:val="center"/>
                </w:tcPr>
                <w:p>
                  <w:pPr>
                    <w:jc w:val="center"/>
                  </w:pPr>
                  <w:r>
                    <w:rPr>
                      <w:rFonts w:hint="eastAsia"/>
                    </w:rPr>
                    <w:t>2</w:t>
                  </w:r>
                </w:p>
              </w:tc>
              <w:tc>
                <w:tcPr>
                  <w:tcW w:w="1871" w:type="dxa"/>
                  <w:tcBorders>
                    <w:tl2br w:val="nil"/>
                    <w:tr2bl w:val="nil"/>
                  </w:tcBorders>
                  <w:vAlign w:val="center"/>
                </w:tcPr>
                <w:p>
                  <w:pPr>
                    <w:jc w:val="center"/>
                  </w:pPr>
                  <w: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5</w:t>
                  </w:r>
                </w:p>
              </w:tc>
              <w:tc>
                <w:tcPr>
                  <w:tcW w:w="2149" w:type="dxa"/>
                  <w:tcBorders>
                    <w:tl2br w:val="nil"/>
                    <w:tr2bl w:val="nil"/>
                  </w:tcBorders>
                  <w:vAlign w:val="center"/>
                </w:tcPr>
                <w:p>
                  <w:pPr>
                    <w:jc w:val="center"/>
                  </w:pPr>
                  <w:r>
                    <w:t>砂子</w:t>
                  </w:r>
                </w:p>
              </w:tc>
              <w:tc>
                <w:tcPr>
                  <w:tcW w:w="1605" w:type="dxa"/>
                  <w:tcBorders>
                    <w:tl2br w:val="nil"/>
                    <w:tr2bl w:val="nil"/>
                  </w:tcBorders>
                  <w:vAlign w:val="center"/>
                </w:tcPr>
                <w:p>
                  <w:pPr>
                    <w:jc w:val="center"/>
                  </w:pPr>
                  <w:r>
                    <w:t>—</w:t>
                  </w:r>
                </w:p>
              </w:tc>
              <w:tc>
                <w:tcPr>
                  <w:tcW w:w="1478" w:type="dxa"/>
                  <w:tcBorders>
                    <w:tl2br w:val="nil"/>
                    <w:tr2bl w:val="nil"/>
                  </w:tcBorders>
                  <w:vAlign w:val="center"/>
                </w:tcPr>
                <w:p>
                  <w:pPr>
                    <w:jc w:val="center"/>
                  </w:pPr>
                  <w:r>
                    <w:t>m</w:t>
                  </w:r>
                  <w:r>
                    <w:rPr>
                      <w:vertAlign w:val="superscript"/>
                    </w:rPr>
                    <w:t>3</w:t>
                  </w:r>
                </w:p>
              </w:tc>
              <w:tc>
                <w:tcPr>
                  <w:tcW w:w="1082" w:type="dxa"/>
                  <w:tcBorders>
                    <w:tl2br w:val="nil"/>
                    <w:tr2bl w:val="nil"/>
                  </w:tcBorders>
                  <w:vAlign w:val="center"/>
                </w:tcPr>
                <w:p>
                  <w:pPr>
                    <w:jc w:val="center"/>
                  </w:pPr>
                  <w:r>
                    <w:t>2</w:t>
                  </w:r>
                </w:p>
              </w:tc>
              <w:tc>
                <w:tcPr>
                  <w:tcW w:w="1871" w:type="dxa"/>
                  <w:tcBorders>
                    <w:tl2br w:val="nil"/>
                    <w:tr2bl w:val="nil"/>
                  </w:tcBorders>
                  <w:vAlign w:val="center"/>
                </w:tcPr>
                <w:p>
                  <w:pPr>
                    <w:jc w:val="center"/>
                  </w:pPr>
                  <w: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6</w:t>
                  </w:r>
                </w:p>
              </w:tc>
              <w:tc>
                <w:tcPr>
                  <w:tcW w:w="2149" w:type="dxa"/>
                  <w:tcBorders>
                    <w:tl2br w:val="nil"/>
                    <w:tr2bl w:val="nil"/>
                  </w:tcBorders>
                  <w:vAlign w:val="center"/>
                </w:tcPr>
                <w:p>
                  <w:pPr>
                    <w:jc w:val="center"/>
                  </w:pPr>
                  <w:r>
                    <w:t>消防器材箱</w:t>
                  </w:r>
                </w:p>
              </w:tc>
              <w:tc>
                <w:tcPr>
                  <w:tcW w:w="1605" w:type="dxa"/>
                  <w:tcBorders>
                    <w:tl2br w:val="nil"/>
                    <w:tr2bl w:val="nil"/>
                  </w:tcBorders>
                  <w:vAlign w:val="center"/>
                </w:tcPr>
                <w:p>
                  <w:pPr>
                    <w:jc w:val="center"/>
                  </w:pPr>
                  <w:r>
                    <w:t>—</w:t>
                  </w:r>
                </w:p>
              </w:tc>
              <w:tc>
                <w:tcPr>
                  <w:tcW w:w="1478" w:type="dxa"/>
                  <w:tcBorders>
                    <w:tl2br w:val="nil"/>
                    <w:tr2bl w:val="nil"/>
                  </w:tcBorders>
                  <w:vAlign w:val="center"/>
                </w:tcPr>
                <w:p>
                  <w:pPr>
                    <w:jc w:val="center"/>
                  </w:pPr>
                  <w:r>
                    <w:t>个</w:t>
                  </w:r>
                </w:p>
              </w:tc>
              <w:tc>
                <w:tcPr>
                  <w:tcW w:w="1082" w:type="dxa"/>
                  <w:tcBorders>
                    <w:tl2br w:val="nil"/>
                    <w:tr2bl w:val="nil"/>
                  </w:tcBorders>
                  <w:vAlign w:val="center"/>
                </w:tcPr>
                <w:p>
                  <w:pPr>
                    <w:jc w:val="center"/>
                  </w:pPr>
                  <w:r>
                    <w:t>2</w:t>
                  </w:r>
                </w:p>
              </w:tc>
              <w:tc>
                <w:tcPr>
                  <w:tcW w:w="1871" w:type="dxa"/>
                  <w:tcBorders>
                    <w:tl2br w:val="nil"/>
                    <w:tr2bl w:val="nil"/>
                  </w:tcBorders>
                  <w:vAlign w:val="center"/>
                </w:tcPr>
                <w:p>
                  <w:pPr>
                    <w:jc w:val="center"/>
                  </w:pPr>
                  <w: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7</w:t>
                  </w:r>
                </w:p>
              </w:tc>
              <w:tc>
                <w:tcPr>
                  <w:tcW w:w="2149" w:type="dxa"/>
                  <w:tcBorders>
                    <w:tl2br w:val="nil"/>
                    <w:tr2bl w:val="nil"/>
                  </w:tcBorders>
                  <w:vAlign w:val="center"/>
                </w:tcPr>
                <w:p>
                  <w:pPr>
                    <w:jc w:val="center"/>
                  </w:pPr>
                  <w:r>
                    <w:t>消防桶</w:t>
                  </w:r>
                </w:p>
              </w:tc>
              <w:tc>
                <w:tcPr>
                  <w:tcW w:w="1605" w:type="dxa"/>
                  <w:tcBorders>
                    <w:tl2br w:val="nil"/>
                    <w:tr2bl w:val="nil"/>
                  </w:tcBorders>
                  <w:vAlign w:val="center"/>
                </w:tcPr>
                <w:p>
                  <w:pPr>
                    <w:jc w:val="center"/>
                  </w:pPr>
                  <w:r>
                    <w:t>—</w:t>
                  </w:r>
                </w:p>
              </w:tc>
              <w:tc>
                <w:tcPr>
                  <w:tcW w:w="1478" w:type="dxa"/>
                  <w:tcBorders>
                    <w:tl2br w:val="nil"/>
                    <w:tr2bl w:val="nil"/>
                  </w:tcBorders>
                  <w:vAlign w:val="center"/>
                </w:tcPr>
                <w:p>
                  <w:pPr>
                    <w:jc w:val="center"/>
                  </w:pPr>
                  <w:r>
                    <w:t>个</w:t>
                  </w:r>
                </w:p>
              </w:tc>
              <w:tc>
                <w:tcPr>
                  <w:tcW w:w="1082" w:type="dxa"/>
                  <w:tcBorders>
                    <w:tl2br w:val="nil"/>
                    <w:tr2bl w:val="nil"/>
                  </w:tcBorders>
                  <w:vAlign w:val="center"/>
                </w:tcPr>
                <w:p>
                  <w:pPr>
                    <w:jc w:val="center"/>
                  </w:pPr>
                  <w:r>
                    <w:t>4</w:t>
                  </w:r>
                </w:p>
              </w:tc>
              <w:tc>
                <w:tcPr>
                  <w:tcW w:w="1871" w:type="dxa"/>
                  <w:tcBorders>
                    <w:tl2br w:val="nil"/>
                    <w:tr2bl w:val="nil"/>
                  </w:tcBorders>
                  <w:vAlign w:val="center"/>
                </w:tcPr>
                <w:p>
                  <w:pPr>
                    <w:jc w:val="center"/>
                  </w:pPr>
                  <w: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3" w:type="dxa"/>
                  <w:tcBorders>
                    <w:tl2br w:val="nil"/>
                    <w:tr2bl w:val="nil"/>
                  </w:tcBorders>
                  <w:vAlign w:val="center"/>
                </w:tcPr>
                <w:p>
                  <w:pPr>
                    <w:jc w:val="center"/>
                  </w:pPr>
                  <w:r>
                    <w:t>8</w:t>
                  </w:r>
                </w:p>
              </w:tc>
              <w:tc>
                <w:tcPr>
                  <w:tcW w:w="2149" w:type="dxa"/>
                  <w:tcBorders>
                    <w:tl2br w:val="nil"/>
                    <w:tr2bl w:val="nil"/>
                  </w:tcBorders>
                  <w:vAlign w:val="center"/>
                </w:tcPr>
                <w:p>
                  <w:pPr>
                    <w:jc w:val="center"/>
                  </w:pPr>
                  <w:r>
                    <w:t>消防铲</w:t>
                  </w:r>
                </w:p>
              </w:tc>
              <w:tc>
                <w:tcPr>
                  <w:tcW w:w="1605" w:type="dxa"/>
                  <w:tcBorders>
                    <w:tl2br w:val="nil"/>
                    <w:tr2bl w:val="nil"/>
                  </w:tcBorders>
                  <w:vAlign w:val="center"/>
                </w:tcPr>
                <w:p>
                  <w:pPr>
                    <w:jc w:val="center"/>
                  </w:pPr>
                  <w:r>
                    <w:t>—</w:t>
                  </w:r>
                </w:p>
              </w:tc>
              <w:tc>
                <w:tcPr>
                  <w:tcW w:w="1478" w:type="dxa"/>
                  <w:tcBorders>
                    <w:tl2br w:val="nil"/>
                    <w:tr2bl w:val="nil"/>
                  </w:tcBorders>
                  <w:vAlign w:val="center"/>
                </w:tcPr>
                <w:p>
                  <w:pPr>
                    <w:jc w:val="center"/>
                  </w:pPr>
                  <w:r>
                    <w:t>把</w:t>
                  </w:r>
                </w:p>
              </w:tc>
              <w:tc>
                <w:tcPr>
                  <w:tcW w:w="1082" w:type="dxa"/>
                  <w:tcBorders>
                    <w:tl2br w:val="nil"/>
                    <w:tr2bl w:val="nil"/>
                  </w:tcBorders>
                  <w:vAlign w:val="center"/>
                </w:tcPr>
                <w:p>
                  <w:pPr>
                    <w:jc w:val="center"/>
                  </w:pPr>
                  <w:r>
                    <w:t>4</w:t>
                  </w:r>
                </w:p>
              </w:tc>
              <w:tc>
                <w:tcPr>
                  <w:tcW w:w="1871" w:type="dxa"/>
                  <w:tcBorders>
                    <w:tl2br w:val="nil"/>
                    <w:tr2bl w:val="nil"/>
                  </w:tcBorders>
                  <w:vAlign w:val="center"/>
                </w:tcPr>
                <w:p>
                  <w:pPr>
                    <w:jc w:val="center"/>
                  </w:pPr>
                  <w:r>
                    <w:t>—</w:t>
                  </w:r>
                </w:p>
              </w:tc>
            </w:tr>
          </w:tbl>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五、工作制度及劳动定员</w:t>
            </w:r>
          </w:p>
          <w:p>
            <w:pPr>
              <w:spacing w:line="360" w:lineRule="auto"/>
              <w:ind w:firstLine="560" w:firstLineChars="200"/>
              <w:rPr>
                <w:rFonts w:ascii="Times New Roman" w:hAnsi="Times New Roman"/>
                <w:sz w:val="28"/>
                <w:szCs w:val="28"/>
              </w:rPr>
            </w:pPr>
            <w:r>
              <w:rPr>
                <w:rFonts w:ascii="Times New Roman" w:hAnsi="Times New Roman"/>
                <w:sz w:val="28"/>
                <w:szCs w:val="28"/>
              </w:rPr>
              <w:t>项目加油站定员为</w:t>
            </w:r>
            <w:r>
              <w:rPr>
                <w:rFonts w:hint="eastAsia" w:ascii="Times New Roman" w:hAnsi="Times New Roman"/>
                <w:sz w:val="28"/>
                <w:szCs w:val="28"/>
              </w:rPr>
              <w:t>8</w:t>
            </w:r>
            <w:r>
              <w:rPr>
                <w:rFonts w:ascii="Times New Roman" w:hAnsi="Times New Roman"/>
                <w:sz w:val="28"/>
                <w:szCs w:val="28"/>
              </w:rPr>
              <w:t>人，实行</w:t>
            </w:r>
            <w:r>
              <w:rPr>
                <w:rFonts w:hint="eastAsia" w:ascii="Times New Roman" w:hAnsi="Times New Roman"/>
                <w:sz w:val="28"/>
                <w:szCs w:val="28"/>
              </w:rPr>
              <w:t>3</w:t>
            </w:r>
            <w:r>
              <w:rPr>
                <w:rFonts w:ascii="Times New Roman" w:hAnsi="Times New Roman"/>
                <w:sz w:val="28"/>
                <w:szCs w:val="28"/>
              </w:rPr>
              <w:t>班制，单班</w:t>
            </w:r>
            <w:r>
              <w:rPr>
                <w:rFonts w:hint="eastAsia" w:ascii="Times New Roman" w:hAnsi="Times New Roman"/>
                <w:sz w:val="28"/>
                <w:szCs w:val="28"/>
              </w:rPr>
              <w:t>8</w:t>
            </w:r>
            <w:r>
              <w:rPr>
                <w:rFonts w:ascii="Times New Roman" w:hAnsi="Times New Roman"/>
                <w:sz w:val="28"/>
                <w:szCs w:val="28"/>
              </w:rPr>
              <w:t xml:space="preserve"> h，全年工作365 d，不设食堂。</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六、项目总投资</w:t>
            </w:r>
          </w:p>
          <w:p>
            <w:pPr>
              <w:spacing w:line="360" w:lineRule="auto"/>
              <w:ind w:firstLine="560" w:firstLineChars="200"/>
              <w:rPr>
                <w:rFonts w:ascii="Times New Roman" w:hAnsi="Times New Roman"/>
                <w:sz w:val="28"/>
                <w:szCs w:val="28"/>
              </w:rPr>
            </w:pPr>
            <w:r>
              <w:rPr>
                <w:rFonts w:ascii="Times New Roman" w:hAnsi="Times New Roman"/>
                <w:sz w:val="28"/>
                <w:szCs w:val="28"/>
              </w:rPr>
              <w:t>建设项目总投资</w:t>
            </w:r>
            <w:r>
              <w:rPr>
                <w:rFonts w:hint="eastAsia" w:ascii="Times New Roman" w:hAnsi="Times New Roman"/>
                <w:sz w:val="28"/>
                <w:szCs w:val="28"/>
              </w:rPr>
              <w:t>4</w:t>
            </w:r>
            <w:r>
              <w:rPr>
                <w:rFonts w:ascii="Times New Roman" w:hAnsi="Times New Roman"/>
                <w:sz w:val="28"/>
                <w:szCs w:val="28"/>
              </w:rPr>
              <w:t>00万元</w:t>
            </w:r>
            <w:r>
              <w:rPr>
                <w:rFonts w:hint="eastAsia" w:ascii="Times New Roman" w:hAnsi="Times New Roman"/>
                <w:sz w:val="28"/>
                <w:szCs w:val="28"/>
              </w:rPr>
              <w:t>，资金由建设单位自筹</w:t>
            </w:r>
            <w:r>
              <w:rPr>
                <w:rFonts w:ascii="Times New Roman" w:hAnsi="Times New Roman"/>
                <w:sz w:val="28"/>
                <w:szCs w:val="28"/>
              </w:rPr>
              <w:t>。</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七、工程实施进度</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本项目建设期10个月，在2020年7月-2020年10月进行建设，</w:t>
            </w:r>
            <w:r>
              <w:rPr>
                <w:rFonts w:ascii="Times New Roman" w:hAnsi="Times New Roman"/>
                <w:sz w:val="28"/>
                <w:szCs w:val="28"/>
              </w:rPr>
              <w:t>加油站预计于20</w:t>
            </w:r>
            <w:r>
              <w:rPr>
                <w:rFonts w:hint="eastAsia" w:ascii="Times New Roman" w:hAnsi="Times New Roman"/>
                <w:sz w:val="28"/>
                <w:szCs w:val="28"/>
              </w:rPr>
              <w:t>21</w:t>
            </w:r>
            <w:r>
              <w:rPr>
                <w:rFonts w:ascii="Times New Roman" w:hAnsi="Times New Roman"/>
                <w:sz w:val="28"/>
                <w:szCs w:val="28"/>
              </w:rPr>
              <w:t>年</w:t>
            </w:r>
            <w:r>
              <w:rPr>
                <w:rFonts w:hint="eastAsia" w:ascii="Times New Roman" w:hAnsi="Times New Roman"/>
                <w:sz w:val="28"/>
                <w:szCs w:val="28"/>
              </w:rPr>
              <w:t>11</w:t>
            </w:r>
            <w:r>
              <w:rPr>
                <w:rFonts w:ascii="Times New Roman" w:hAnsi="Times New Roman"/>
                <w:sz w:val="28"/>
                <w:szCs w:val="28"/>
              </w:rPr>
              <w:t>月正式投产运行。</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八、产业政策</w:t>
            </w:r>
          </w:p>
          <w:p>
            <w:pPr>
              <w:spacing w:line="360" w:lineRule="auto"/>
              <w:ind w:firstLine="560" w:firstLineChars="200"/>
              <w:rPr>
                <w:rFonts w:ascii="Times New Roman" w:hAnsi="Times New Roman"/>
                <w:sz w:val="28"/>
                <w:szCs w:val="28"/>
              </w:rPr>
            </w:pPr>
            <w:r>
              <w:rPr>
                <w:rFonts w:ascii="Times New Roman" w:hAnsi="Times New Roman"/>
                <w:sz w:val="28"/>
                <w:szCs w:val="28"/>
              </w:rPr>
              <w:t>该项目的建设不属于《产业结构调整指导目录（</w:t>
            </w:r>
            <w:r>
              <w:rPr>
                <w:rFonts w:hint="eastAsia" w:ascii="Times New Roman" w:hAnsi="Times New Roman"/>
                <w:sz w:val="28"/>
                <w:szCs w:val="28"/>
              </w:rPr>
              <w:t>2019年本</w:t>
            </w:r>
            <w:r>
              <w:rPr>
                <w:rFonts w:ascii="Times New Roman" w:hAnsi="Times New Roman"/>
                <w:sz w:val="28"/>
                <w:szCs w:val="28"/>
              </w:rPr>
              <w:t>）》中限制类和淘汰类，符合国家的产业政策。</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九、项目选址合理性</w:t>
            </w:r>
          </w:p>
          <w:p>
            <w:pPr>
              <w:spacing w:line="360" w:lineRule="auto"/>
              <w:ind w:firstLine="560" w:firstLineChars="200"/>
              <w:rPr>
                <w:rFonts w:ascii="Times New Roman" w:hAnsi="Times New Roman"/>
                <w:sz w:val="28"/>
                <w:szCs w:val="28"/>
              </w:rPr>
            </w:pPr>
            <w:r>
              <w:rPr>
                <w:rFonts w:ascii="Times New Roman" w:hAnsi="Times New Roman"/>
                <w:sz w:val="28"/>
                <w:szCs w:val="28"/>
              </w:rPr>
              <w:t>项目所在区域无国家、省、市级自然保护区、风景名胜区、疗养院及重要的政治文化设施和水源地</w:t>
            </w:r>
            <w:r>
              <w:rPr>
                <w:rFonts w:hint="eastAsia" w:ascii="Times New Roman" w:hAnsi="Times New Roman"/>
                <w:sz w:val="28"/>
                <w:szCs w:val="28"/>
              </w:rPr>
              <w:t>；</w:t>
            </w:r>
            <w:r>
              <w:rPr>
                <w:rFonts w:ascii="Times New Roman" w:hAnsi="Times New Roman"/>
                <w:sz w:val="28"/>
                <w:szCs w:val="28"/>
              </w:rPr>
              <w:t>工艺设施与站外建、构筑物的防火距离满足《汽车加油加气站设计与施工规范》（GB50156-2012）（2014年局部修订版）的规定</w:t>
            </w:r>
            <w:r>
              <w:rPr>
                <w:rFonts w:hint="eastAsia" w:ascii="Times New Roman" w:hAnsi="Times New Roman"/>
                <w:sz w:val="28"/>
                <w:szCs w:val="28"/>
              </w:rPr>
              <w:t>，</w:t>
            </w:r>
            <w:r>
              <w:rPr>
                <w:rFonts w:ascii="Times New Roman" w:hAnsi="Times New Roman"/>
                <w:sz w:val="28"/>
                <w:szCs w:val="28"/>
              </w:rPr>
              <w:t>选址符合设计原则要求，符合环境保护和防火安全的要求，</w:t>
            </w:r>
            <w:r>
              <w:rPr>
                <w:rFonts w:hint="eastAsia" w:ascii="Times New Roman" w:hAnsi="Times New Roman"/>
                <w:sz w:val="28"/>
                <w:szCs w:val="28"/>
              </w:rPr>
              <w:t>根据本项目提供的《用地许可证》本项目土地用途为“零售商服”；本项目在落实本报告提出的污染防治措施前提，确保各项污染物稳定达标排放，对周围环境影响不大。</w:t>
            </w:r>
            <w:r>
              <w:rPr>
                <w:rFonts w:ascii="Times New Roman" w:hAnsi="Times New Roman"/>
                <w:sz w:val="28"/>
                <w:szCs w:val="28"/>
              </w:rPr>
              <w:t>因此</w:t>
            </w:r>
            <w:r>
              <w:rPr>
                <w:rFonts w:hint="eastAsia" w:ascii="Times New Roman" w:hAnsi="Times New Roman"/>
                <w:sz w:val="28"/>
                <w:szCs w:val="28"/>
              </w:rPr>
              <w:t>本项目从环境角度来看，</w:t>
            </w:r>
            <w:r>
              <w:rPr>
                <w:rFonts w:ascii="Times New Roman" w:hAnsi="Times New Roman"/>
                <w:sz w:val="28"/>
                <w:szCs w:val="28"/>
              </w:rPr>
              <w:t>其选址基本合理。</w:t>
            </w:r>
          </w:p>
          <w:p>
            <w:pPr>
              <w:spacing w:line="360" w:lineRule="auto"/>
              <w:ind w:firstLine="560" w:firstLineChars="200"/>
              <w:rPr>
                <w:rFonts w:ascii="Times New Roman" w:hAnsi="Times New Roman" w:eastAsiaTheme="minorEastAsia"/>
                <w:b/>
                <w:sz w:val="28"/>
                <w:szCs w:val="28"/>
              </w:rPr>
            </w:pPr>
            <w:r>
              <w:rPr>
                <w:rFonts w:hint="eastAsia" w:ascii="Times New Roman" w:hAnsi="Times New Roman" w:eastAsiaTheme="minorEastAsia"/>
                <w:b/>
                <w:sz w:val="28"/>
                <w:szCs w:val="28"/>
              </w:rPr>
              <w:t>十、“三线一单”符合性分析</w:t>
            </w:r>
          </w:p>
          <w:p>
            <w:pPr>
              <w:spacing w:line="360" w:lineRule="auto"/>
              <w:jc w:val="center"/>
              <w:rPr>
                <w:rFonts w:ascii="Times New Roman" w:hAnsi="Times New Roman"/>
                <w:b/>
                <w:sz w:val="24"/>
                <w:szCs w:val="24"/>
              </w:rPr>
            </w:pPr>
            <w:r>
              <w:rPr>
                <w:rFonts w:hint="eastAsia" w:ascii="Times New Roman" w:hAnsi="Times New Roman"/>
                <w:b/>
                <w:sz w:val="24"/>
                <w:szCs w:val="24"/>
              </w:rPr>
              <w:t>表9    “三线一单”符合性分析</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6378"/>
              <w:gridCol w:w="16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22" w:type="pct"/>
                  <w:tcBorders>
                    <w:top w:val="single" w:color="auto" w:sz="12" w:space="0"/>
                    <w:left w:val="nil"/>
                    <w:bottom w:val="single" w:color="auto" w:sz="4" w:space="0"/>
                    <w:right w:val="single" w:color="auto" w:sz="4" w:space="0"/>
                  </w:tcBorders>
                  <w:vAlign w:val="center"/>
                </w:tcPr>
                <w:p>
                  <w:pPr>
                    <w:tabs>
                      <w:tab w:val="center" w:pos="4153"/>
                      <w:tab w:val="right" w:pos="8306"/>
                    </w:tabs>
                    <w:jc w:val="center"/>
                    <w:rPr>
                      <w:kern w:val="0"/>
                      <w:szCs w:val="21"/>
                    </w:rPr>
                  </w:pPr>
                  <w:r>
                    <w:rPr>
                      <w:rFonts w:hint="eastAsia"/>
                      <w:kern w:val="0"/>
                      <w:szCs w:val="21"/>
                    </w:rPr>
                    <w:t>内容</w:t>
                  </w:r>
                </w:p>
              </w:tc>
              <w:tc>
                <w:tcPr>
                  <w:tcW w:w="3496" w:type="pct"/>
                  <w:tcBorders>
                    <w:top w:val="single" w:color="auto" w:sz="12" w:space="0"/>
                    <w:left w:val="single" w:color="auto" w:sz="4" w:space="0"/>
                    <w:bottom w:val="single" w:color="auto" w:sz="4" w:space="0"/>
                    <w:right w:val="nil"/>
                  </w:tcBorders>
                </w:tcPr>
                <w:p>
                  <w:pPr>
                    <w:tabs>
                      <w:tab w:val="center" w:pos="4153"/>
                      <w:tab w:val="right" w:pos="8306"/>
                    </w:tabs>
                    <w:jc w:val="center"/>
                    <w:rPr>
                      <w:kern w:val="0"/>
                      <w:szCs w:val="21"/>
                    </w:rPr>
                  </w:pPr>
                  <w:r>
                    <w:rPr>
                      <w:rFonts w:hint="eastAsia"/>
                      <w:kern w:val="0"/>
                      <w:szCs w:val="21"/>
                    </w:rPr>
                    <w:t>符合性分析</w:t>
                  </w:r>
                </w:p>
              </w:tc>
              <w:tc>
                <w:tcPr>
                  <w:tcW w:w="882" w:type="pct"/>
                  <w:tcBorders>
                    <w:top w:val="single" w:color="auto" w:sz="12" w:space="0"/>
                    <w:left w:val="single" w:color="auto" w:sz="4" w:space="0"/>
                    <w:bottom w:val="single" w:color="auto" w:sz="4" w:space="0"/>
                    <w:right w:val="nil"/>
                  </w:tcBorders>
                  <w:vAlign w:val="center"/>
                </w:tcPr>
                <w:p>
                  <w:pPr>
                    <w:tabs>
                      <w:tab w:val="center" w:pos="4153"/>
                      <w:tab w:val="right" w:pos="8306"/>
                    </w:tabs>
                    <w:jc w:val="center"/>
                    <w:rPr>
                      <w:kern w:val="0"/>
                      <w:szCs w:val="21"/>
                    </w:rPr>
                  </w:pPr>
                  <w:r>
                    <w:rPr>
                      <w:rFonts w:hint="eastAsia"/>
                      <w:kern w:val="0"/>
                      <w:szCs w:val="21"/>
                    </w:rPr>
                    <w:t>符合情况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22" w:type="pct"/>
                  <w:tcBorders>
                    <w:top w:val="single" w:color="auto" w:sz="4" w:space="0"/>
                    <w:left w:val="nil"/>
                    <w:bottom w:val="single" w:color="auto" w:sz="4" w:space="0"/>
                    <w:right w:val="single" w:color="auto" w:sz="4" w:space="0"/>
                  </w:tcBorders>
                  <w:vAlign w:val="center"/>
                </w:tcPr>
                <w:p>
                  <w:pPr>
                    <w:tabs>
                      <w:tab w:val="center" w:pos="4153"/>
                      <w:tab w:val="right" w:pos="8306"/>
                    </w:tabs>
                    <w:jc w:val="center"/>
                    <w:rPr>
                      <w:kern w:val="0"/>
                      <w:szCs w:val="21"/>
                    </w:rPr>
                  </w:pPr>
                  <w:r>
                    <w:rPr>
                      <w:rFonts w:hint="eastAsia"/>
                      <w:kern w:val="0"/>
                      <w:szCs w:val="21"/>
                    </w:rPr>
                    <w:t>生态保护红线</w:t>
                  </w:r>
                </w:p>
              </w:tc>
              <w:tc>
                <w:tcPr>
                  <w:tcW w:w="3496" w:type="pct"/>
                  <w:tcBorders>
                    <w:top w:val="single" w:color="auto" w:sz="4" w:space="0"/>
                    <w:left w:val="single" w:color="auto" w:sz="4" w:space="0"/>
                    <w:bottom w:val="single" w:color="auto" w:sz="4" w:space="0"/>
                    <w:right w:val="nil"/>
                  </w:tcBorders>
                </w:tcPr>
                <w:p>
                  <w:pPr>
                    <w:tabs>
                      <w:tab w:val="left" w:pos="1380"/>
                      <w:tab w:val="center" w:pos="4153"/>
                      <w:tab w:val="right" w:pos="8306"/>
                    </w:tabs>
                    <w:ind w:firstLine="420" w:firstLineChars="200"/>
                    <w:jc w:val="left"/>
                    <w:rPr>
                      <w:kern w:val="0"/>
                      <w:szCs w:val="21"/>
                    </w:rPr>
                  </w:pPr>
                  <w:r>
                    <w:rPr>
                      <w:rFonts w:hint="eastAsia"/>
                      <w:kern w:val="0"/>
                      <w:szCs w:val="21"/>
                    </w:rPr>
                    <w:t>本项目位于同江市同街公路10公里+300米处路南侧，所在区域尚未公布生态红线，周边无自然保护区、饮用水源保护区范围，符合生态保护红线要求。</w:t>
                  </w:r>
                </w:p>
              </w:tc>
              <w:tc>
                <w:tcPr>
                  <w:tcW w:w="882" w:type="pct"/>
                  <w:tcBorders>
                    <w:top w:val="single" w:color="auto" w:sz="4" w:space="0"/>
                    <w:left w:val="single" w:color="auto" w:sz="4" w:space="0"/>
                    <w:bottom w:val="single" w:color="auto" w:sz="4" w:space="0"/>
                    <w:right w:val="nil"/>
                  </w:tcBorders>
                  <w:vAlign w:val="center"/>
                </w:tcPr>
                <w:p>
                  <w:pPr>
                    <w:tabs>
                      <w:tab w:val="left" w:pos="1380"/>
                      <w:tab w:val="center" w:pos="4153"/>
                      <w:tab w:val="right" w:pos="8306"/>
                    </w:tabs>
                    <w:jc w:val="center"/>
                    <w:rPr>
                      <w:kern w:val="0"/>
                      <w:szCs w:val="21"/>
                    </w:rPr>
                  </w:pPr>
                  <w:r>
                    <w:rPr>
                      <w:rFonts w:hint="eastAsia"/>
                      <w:kern w:val="0"/>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22" w:type="pct"/>
                  <w:tcBorders>
                    <w:top w:val="single" w:color="auto" w:sz="4" w:space="0"/>
                    <w:left w:val="nil"/>
                    <w:bottom w:val="single" w:color="auto" w:sz="4" w:space="0"/>
                    <w:right w:val="single" w:color="auto" w:sz="4" w:space="0"/>
                  </w:tcBorders>
                  <w:vAlign w:val="center"/>
                </w:tcPr>
                <w:p>
                  <w:pPr>
                    <w:tabs>
                      <w:tab w:val="center" w:pos="4153"/>
                      <w:tab w:val="right" w:pos="8306"/>
                    </w:tabs>
                    <w:jc w:val="center"/>
                    <w:rPr>
                      <w:kern w:val="0"/>
                      <w:szCs w:val="21"/>
                    </w:rPr>
                  </w:pPr>
                  <w:r>
                    <w:rPr>
                      <w:rFonts w:hint="eastAsia"/>
                      <w:kern w:val="0"/>
                      <w:szCs w:val="21"/>
                    </w:rPr>
                    <w:t>资源利用上线</w:t>
                  </w:r>
                </w:p>
              </w:tc>
              <w:tc>
                <w:tcPr>
                  <w:tcW w:w="3496" w:type="pct"/>
                  <w:tcBorders>
                    <w:top w:val="single" w:color="auto" w:sz="4" w:space="0"/>
                    <w:left w:val="single" w:color="auto" w:sz="4" w:space="0"/>
                    <w:bottom w:val="single" w:color="auto" w:sz="4" w:space="0"/>
                    <w:right w:val="nil"/>
                  </w:tcBorders>
                </w:tcPr>
                <w:p>
                  <w:pPr>
                    <w:tabs>
                      <w:tab w:val="center" w:pos="4153"/>
                      <w:tab w:val="right" w:pos="8306"/>
                    </w:tabs>
                    <w:ind w:firstLine="420" w:firstLineChars="200"/>
                    <w:jc w:val="left"/>
                    <w:rPr>
                      <w:kern w:val="0"/>
                      <w:szCs w:val="21"/>
                    </w:rPr>
                  </w:pPr>
                  <w:r>
                    <w:rPr>
                      <w:rFonts w:hint="eastAsia"/>
                      <w:kern w:val="0"/>
                      <w:szCs w:val="21"/>
                    </w:rPr>
                    <w:t>项目运营过程中消耗一定的电量、水资源，项目资源消耗量相对区域资源总量较小，符合资源利用上限要求。</w:t>
                  </w:r>
                </w:p>
              </w:tc>
              <w:tc>
                <w:tcPr>
                  <w:tcW w:w="882" w:type="pct"/>
                  <w:tcBorders>
                    <w:top w:val="single" w:color="auto" w:sz="4" w:space="0"/>
                    <w:left w:val="single" w:color="auto" w:sz="4" w:space="0"/>
                    <w:bottom w:val="single" w:color="auto" w:sz="4" w:space="0"/>
                    <w:right w:val="nil"/>
                  </w:tcBorders>
                  <w:vAlign w:val="center"/>
                </w:tcPr>
                <w:p>
                  <w:pPr>
                    <w:tabs>
                      <w:tab w:val="center" w:pos="4153"/>
                      <w:tab w:val="right" w:pos="8306"/>
                    </w:tabs>
                    <w:jc w:val="center"/>
                    <w:rPr>
                      <w:kern w:val="0"/>
                      <w:szCs w:val="21"/>
                    </w:rPr>
                  </w:pPr>
                  <w:r>
                    <w:rPr>
                      <w:rFonts w:hint="eastAsia"/>
                      <w:kern w:val="0"/>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22" w:type="pct"/>
                  <w:tcBorders>
                    <w:top w:val="single" w:color="auto" w:sz="4" w:space="0"/>
                    <w:left w:val="nil"/>
                    <w:bottom w:val="single" w:color="auto" w:sz="4" w:space="0"/>
                    <w:right w:val="single" w:color="auto" w:sz="4" w:space="0"/>
                  </w:tcBorders>
                  <w:vAlign w:val="center"/>
                </w:tcPr>
                <w:p>
                  <w:pPr>
                    <w:tabs>
                      <w:tab w:val="center" w:pos="4153"/>
                      <w:tab w:val="right" w:pos="8306"/>
                    </w:tabs>
                    <w:jc w:val="center"/>
                    <w:rPr>
                      <w:kern w:val="0"/>
                      <w:szCs w:val="21"/>
                    </w:rPr>
                  </w:pPr>
                  <w:r>
                    <w:rPr>
                      <w:rFonts w:hint="eastAsia"/>
                      <w:kern w:val="0"/>
                      <w:szCs w:val="21"/>
                    </w:rPr>
                    <w:t>环境质量底线</w:t>
                  </w:r>
                </w:p>
              </w:tc>
              <w:tc>
                <w:tcPr>
                  <w:tcW w:w="3496" w:type="pct"/>
                  <w:tcBorders>
                    <w:top w:val="single" w:color="auto" w:sz="4" w:space="0"/>
                    <w:left w:val="single" w:color="auto" w:sz="4" w:space="0"/>
                    <w:bottom w:val="single" w:color="auto" w:sz="4" w:space="0"/>
                    <w:right w:val="nil"/>
                  </w:tcBorders>
                </w:tcPr>
                <w:p>
                  <w:pPr>
                    <w:tabs>
                      <w:tab w:val="center" w:pos="4153"/>
                      <w:tab w:val="right" w:pos="8306"/>
                    </w:tabs>
                    <w:ind w:firstLine="420" w:firstLineChars="200"/>
                    <w:rPr>
                      <w:szCs w:val="21"/>
                    </w:rPr>
                  </w:pPr>
                  <w:r>
                    <w:rPr>
                      <w:rFonts w:hint="eastAsia"/>
                      <w:bCs/>
                      <w:szCs w:val="21"/>
                    </w:rPr>
                    <w:t>评价区域为环境空气质量达标区；</w:t>
                  </w:r>
                  <w:r>
                    <w:rPr>
                      <w:szCs w:val="21"/>
                    </w:rPr>
                    <w:t>本项目评价范围内</w:t>
                  </w:r>
                  <w:r>
                    <w:rPr>
                      <w:rFonts w:hint="eastAsia"/>
                      <w:szCs w:val="21"/>
                    </w:rPr>
                    <w:t>非甲烷总烃监测浓度满足《环境空气质量 非甲烷总烃限值》（DB13/1577-2012）中二级标准浓度限值要求</w:t>
                  </w:r>
                  <w:r>
                    <w:rPr>
                      <w:szCs w:val="21"/>
                    </w:rPr>
                    <w:t>；</w:t>
                  </w:r>
                  <w:r>
                    <w:rPr>
                      <w:rFonts w:hint="eastAsia"/>
                      <w:szCs w:val="21"/>
                    </w:rPr>
                    <w:t>项目所在区域地表水水质均满足《地表水环境质量标准》 (GB3838-2002)Ⅲ类标准要求，水质较好</w:t>
                  </w:r>
                  <w:r>
                    <w:rPr>
                      <w:szCs w:val="21"/>
                    </w:rPr>
                    <w:t>；</w:t>
                  </w:r>
                  <w:r>
                    <w:rPr>
                      <w:rFonts w:hint="eastAsia"/>
                      <w:szCs w:val="21"/>
                    </w:rPr>
                    <w:t>评价区内地下水均满足《地下水质量标准》（GB/T14848-2017）中Ⅲ类标准；石油类满足《地表水环境质量标准》（GB3838-2002）Ⅲ类标准；项目东、南、西侧厂界满足《声环境质量标准》（GB3096-2008）中2类标准北侧厂界满足《声环境质量标准》（GB3096-2008）中4a类标准。由上分析可知，项目建设</w:t>
                  </w:r>
                  <w:r>
                    <w:rPr>
                      <w:szCs w:val="21"/>
                    </w:rPr>
                    <w:t>符合环境质量底线要求</w:t>
                  </w:r>
                  <w:r>
                    <w:rPr>
                      <w:rFonts w:hint="eastAsia"/>
                      <w:szCs w:val="21"/>
                    </w:rPr>
                    <w:t>。</w:t>
                  </w:r>
                </w:p>
              </w:tc>
              <w:tc>
                <w:tcPr>
                  <w:tcW w:w="882" w:type="pct"/>
                  <w:tcBorders>
                    <w:top w:val="single" w:color="auto" w:sz="4" w:space="0"/>
                    <w:left w:val="single" w:color="auto" w:sz="4" w:space="0"/>
                    <w:bottom w:val="single" w:color="auto" w:sz="4" w:space="0"/>
                    <w:right w:val="nil"/>
                  </w:tcBorders>
                  <w:vAlign w:val="center"/>
                </w:tcPr>
                <w:p>
                  <w:pPr>
                    <w:tabs>
                      <w:tab w:val="center" w:pos="4153"/>
                      <w:tab w:val="right" w:pos="8306"/>
                    </w:tabs>
                    <w:jc w:val="center"/>
                    <w:rPr>
                      <w:bCs/>
                      <w:szCs w:val="21"/>
                    </w:rPr>
                  </w:pPr>
                  <w:r>
                    <w:rPr>
                      <w:rFonts w:hint="eastAsia"/>
                      <w:bCs/>
                      <w:szCs w:val="21"/>
                    </w:rPr>
                    <w:t>符合</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22" w:type="pct"/>
                  <w:tcBorders>
                    <w:top w:val="single" w:color="auto" w:sz="4" w:space="0"/>
                    <w:left w:val="nil"/>
                    <w:bottom w:val="single" w:color="auto" w:sz="12" w:space="0"/>
                    <w:right w:val="single" w:color="auto" w:sz="4" w:space="0"/>
                  </w:tcBorders>
                  <w:vAlign w:val="center"/>
                </w:tcPr>
                <w:p>
                  <w:pPr>
                    <w:tabs>
                      <w:tab w:val="center" w:pos="4153"/>
                      <w:tab w:val="right" w:pos="8306"/>
                    </w:tabs>
                    <w:jc w:val="center"/>
                    <w:rPr>
                      <w:kern w:val="0"/>
                      <w:szCs w:val="21"/>
                    </w:rPr>
                  </w:pPr>
                  <w:r>
                    <w:rPr>
                      <w:rFonts w:hint="eastAsia"/>
                      <w:kern w:val="0"/>
                      <w:szCs w:val="21"/>
                    </w:rPr>
                    <w:t>负面清单</w:t>
                  </w:r>
                </w:p>
              </w:tc>
              <w:tc>
                <w:tcPr>
                  <w:tcW w:w="3496" w:type="pct"/>
                  <w:tcBorders>
                    <w:top w:val="single" w:color="auto" w:sz="4" w:space="0"/>
                    <w:left w:val="single" w:color="auto" w:sz="4" w:space="0"/>
                    <w:bottom w:val="single" w:color="auto" w:sz="12" w:space="0"/>
                    <w:right w:val="nil"/>
                  </w:tcBorders>
                </w:tcPr>
                <w:p>
                  <w:pPr>
                    <w:tabs>
                      <w:tab w:val="center" w:pos="4153"/>
                      <w:tab w:val="right" w:pos="8306"/>
                    </w:tabs>
                    <w:ind w:firstLine="420" w:firstLineChars="200"/>
                    <w:jc w:val="left"/>
                    <w:rPr>
                      <w:kern w:val="0"/>
                      <w:szCs w:val="21"/>
                    </w:rPr>
                  </w:pPr>
                  <w:r>
                    <w:rPr>
                      <w:rFonts w:hint="eastAsia"/>
                      <w:kern w:val="0"/>
                      <w:szCs w:val="21"/>
                    </w:rPr>
                    <w:t>本项目不属于《黑龙江省重点生态功能区产业准入负面清单（试行版）》限制类产业，禁止类产业。</w:t>
                  </w:r>
                </w:p>
              </w:tc>
              <w:tc>
                <w:tcPr>
                  <w:tcW w:w="882" w:type="pct"/>
                  <w:tcBorders>
                    <w:top w:val="single" w:color="auto" w:sz="4" w:space="0"/>
                    <w:left w:val="single" w:color="auto" w:sz="4" w:space="0"/>
                    <w:bottom w:val="single" w:color="auto" w:sz="12" w:space="0"/>
                    <w:right w:val="nil"/>
                  </w:tcBorders>
                  <w:vAlign w:val="center"/>
                </w:tcPr>
                <w:p>
                  <w:pPr>
                    <w:tabs>
                      <w:tab w:val="center" w:pos="4153"/>
                      <w:tab w:val="right" w:pos="8306"/>
                    </w:tabs>
                    <w:jc w:val="center"/>
                    <w:rPr>
                      <w:kern w:val="0"/>
                      <w:szCs w:val="21"/>
                    </w:rPr>
                  </w:pPr>
                  <w:r>
                    <w:rPr>
                      <w:rFonts w:hint="eastAsia"/>
                      <w:kern w:val="0"/>
                      <w:szCs w:val="21"/>
                    </w:rPr>
                    <w:t>符合</w:t>
                  </w:r>
                </w:p>
              </w:tc>
            </w:tr>
          </w:tbl>
          <w:p>
            <w:pPr>
              <w:spacing w:line="360" w:lineRule="auto"/>
              <w:ind w:firstLine="560" w:firstLineChars="200"/>
              <w:rPr>
                <w:rFonts w:ascii="Times New Roman" w:hAnsi="Times New Roman"/>
                <w:sz w:val="28"/>
                <w:szCs w:val="28"/>
              </w:rPr>
            </w:pPr>
            <w:r>
              <w:rPr>
                <w:rFonts w:hint="eastAsia" w:ascii="Times New Roman" w:hAnsi="Times New Roman"/>
                <w:sz w:val="28"/>
                <w:szCs w:val="28"/>
              </w:rPr>
              <w:t>由上表分析可知，本项目建设符合 “三线一单”要求。</w:t>
            </w:r>
          </w:p>
          <w:p>
            <w:pPr>
              <w:spacing w:line="360" w:lineRule="auto"/>
              <w:ind w:firstLine="560" w:firstLineChars="200"/>
              <w:rPr>
                <w:rFonts w:ascii="Times New Roman" w:hAnsi="Times New Roman"/>
                <w:sz w:val="28"/>
                <w:szCs w:val="28"/>
              </w:rPr>
            </w:pPr>
          </w:p>
          <w:p>
            <w:pPr>
              <w:spacing w:line="360" w:lineRule="auto"/>
              <w:ind w:firstLine="560" w:firstLineChars="200"/>
              <w:rPr>
                <w:rFonts w:ascii="Times New Roman" w:hAnsi="Times New Roman"/>
                <w:sz w:val="28"/>
                <w:szCs w:val="28"/>
              </w:rPr>
            </w:pPr>
          </w:p>
          <w:p>
            <w:pPr>
              <w:spacing w:line="360" w:lineRule="auto"/>
              <w:ind w:firstLine="560" w:firstLineChars="200"/>
              <w:rPr>
                <w:rFonts w:ascii="Times New Roman" w:hAnsi="Times New Roman"/>
                <w:sz w:val="28"/>
                <w:szCs w:val="28"/>
              </w:rPr>
            </w:pPr>
          </w:p>
          <w:p>
            <w:pPr>
              <w:spacing w:line="360" w:lineRule="auto"/>
              <w:ind w:firstLine="560" w:firstLineChars="200"/>
              <w:rPr>
                <w:rFonts w:ascii="Times New Roman" w:hAnsi="Times New Roman"/>
                <w:sz w:val="28"/>
                <w:szCs w:val="28"/>
              </w:rPr>
            </w:pPr>
          </w:p>
          <w:p>
            <w:pPr>
              <w:spacing w:line="360" w:lineRule="auto"/>
              <w:ind w:firstLine="560" w:firstLineChars="200"/>
              <w:rPr>
                <w:rFonts w:ascii="Times New Roman" w:hAnsi="Times New Roman"/>
                <w:sz w:val="28"/>
                <w:szCs w:val="28"/>
              </w:rPr>
            </w:pPr>
          </w:p>
          <w:p>
            <w:pPr>
              <w:spacing w:line="360" w:lineRule="auto"/>
              <w:ind w:firstLine="560" w:firstLineChars="200"/>
              <w:rPr>
                <w:rFonts w:ascii="Times New Roman" w:hAnsi="Times New Roman"/>
                <w:sz w:val="28"/>
                <w:szCs w:val="28"/>
              </w:rPr>
            </w:pPr>
          </w:p>
          <w:p>
            <w:pPr>
              <w:spacing w:line="360" w:lineRule="auto"/>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94" w:hRule="atLeast"/>
        </w:trPr>
        <w:tc>
          <w:tcPr>
            <w:tcW w:w="5000" w:type="pct"/>
            <w:gridSpan w:val="14"/>
            <w:vAlign w:val="center"/>
          </w:tcPr>
          <w:p>
            <w:pPr>
              <w:spacing w:line="360" w:lineRule="auto"/>
              <w:rPr>
                <w:rFonts w:ascii="Times New Roman" w:hAnsi="Times New Roman" w:eastAsiaTheme="minorEastAsia"/>
                <w:b/>
                <w:sz w:val="28"/>
                <w:szCs w:val="28"/>
              </w:rPr>
            </w:pPr>
            <w:r>
              <w:rPr>
                <w:rFonts w:ascii="Times New Roman" w:hAnsi="Times New Roman" w:eastAsiaTheme="minorEastAsia"/>
                <w:b/>
                <w:sz w:val="28"/>
                <w:szCs w:val="28"/>
              </w:rPr>
              <w:t>本项目有关的原有污染情况及主要环境问题：</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经现场踏勘，</w:t>
            </w:r>
            <w:r>
              <w:rPr>
                <w:rFonts w:ascii="Times New Roman" w:hAnsi="Times New Roman"/>
                <w:sz w:val="28"/>
                <w:szCs w:val="28"/>
              </w:rPr>
              <w:t>项目</w:t>
            </w:r>
            <w:r>
              <w:rPr>
                <w:rFonts w:hint="eastAsia" w:ascii="Times New Roman" w:hAnsi="Times New Roman"/>
                <w:sz w:val="28"/>
                <w:szCs w:val="28"/>
              </w:rPr>
              <w:t>拟建设地点，为荒草地</w:t>
            </w:r>
            <w:r>
              <w:rPr>
                <w:rFonts w:ascii="Times New Roman" w:hAnsi="Times New Roman"/>
                <w:sz w:val="28"/>
                <w:szCs w:val="28"/>
              </w:rPr>
              <w:t>，无原有污染问题。</w:t>
            </w: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ind w:firstLine="480" w:firstLineChars="200"/>
              <w:rPr>
                <w:rFonts w:ascii="Times New Roman" w:hAnsi="Times New Roman"/>
                <w:sz w:val="24"/>
              </w:rPr>
            </w:pPr>
          </w:p>
          <w:p>
            <w:pPr>
              <w:spacing w:line="360" w:lineRule="auto"/>
              <w:rPr>
                <w:rFonts w:ascii="Times New Roman" w:hAnsi="Times New Roman"/>
                <w:sz w:val="24"/>
              </w:rPr>
            </w:pPr>
          </w:p>
        </w:tc>
      </w:tr>
    </w:tbl>
    <w:p>
      <w:pPr>
        <w:pageBreakBefore/>
        <w:spacing w:line="240" w:lineRule="atLeast"/>
        <w:outlineLvl w:val="0"/>
        <w:rPr>
          <w:rFonts w:ascii="Times New Roman" w:hAnsi="Times New Roman" w:eastAsiaTheme="minorEastAsia"/>
          <w:b/>
          <w:bCs/>
          <w:kern w:val="18"/>
          <w:sz w:val="32"/>
          <w:szCs w:val="28"/>
        </w:rPr>
      </w:pPr>
      <w:bookmarkStart w:id="1" w:name="_Toc536626588"/>
      <w:r>
        <w:rPr>
          <w:rFonts w:ascii="Times New Roman" w:hAnsi="Times New Roman" w:eastAsiaTheme="minorEastAsia"/>
          <w:b/>
          <w:bCs/>
          <w:kern w:val="18"/>
          <w:sz w:val="32"/>
          <w:szCs w:val="28"/>
        </w:rPr>
        <w:t>建设项目所在地自然环境简况</w:t>
      </w:r>
      <w:bookmarkEnd w:id="1"/>
    </w:p>
    <w:tbl>
      <w:tblPr>
        <w:tblStyle w:val="2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33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tcPr>
          <w:p>
            <w:pPr>
              <w:pStyle w:val="42"/>
              <w:rPr>
                <w:rFonts w:eastAsiaTheme="minorEastAsia"/>
              </w:rPr>
            </w:pPr>
            <w:r>
              <w:rPr>
                <w:rFonts w:eastAsiaTheme="minorEastAsia"/>
              </w:rPr>
              <w:t>自然环境简况（地形、地貌、地质、气候、气象、水文、植被、生物多样性等）：</w:t>
            </w:r>
          </w:p>
          <w:p>
            <w:pPr>
              <w:pStyle w:val="42"/>
              <w:spacing w:line="360" w:lineRule="auto"/>
              <w:ind w:firstLine="560" w:firstLineChars="200"/>
              <w:rPr>
                <w:rFonts w:eastAsiaTheme="minorEastAsia"/>
              </w:rPr>
            </w:pPr>
            <w:r>
              <w:rPr>
                <w:rFonts w:eastAsiaTheme="minorEastAsia"/>
              </w:rPr>
              <w:t>1 地理位置</w:t>
            </w:r>
          </w:p>
          <w:p>
            <w:pPr>
              <w:pStyle w:val="42"/>
              <w:spacing w:line="360" w:lineRule="auto"/>
              <w:ind w:firstLine="560" w:firstLineChars="200"/>
              <w:rPr>
                <w:rFonts w:eastAsiaTheme="minorEastAsia"/>
                <w:b w:val="0"/>
              </w:rPr>
            </w:pPr>
            <w:r>
              <w:rPr>
                <w:rFonts w:hint="eastAsia" w:eastAsiaTheme="minorEastAsia"/>
                <w:b w:val="0"/>
              </w:rPr>
              <w:t>同江市位于三江平原腹地、黑龙江与松花江汇合处南岸。地理坐标为东经132°18′32″--134°7′15″，北纬47°25′47″--48°17′20″。辖区东与抚远县接壤，南与富锦市、饶河县为邻，西临松花江与绥滨县相连，北隔黑龙江与俄罗斯哈巴罗夫斯克边疆区相望。边境线长170公里，全市总面积6300平方公里。</w:t>
            </w:r>
          </w:p>
          <w:p>
            <w:pPr>
              <w:pStyle w:val="42"/>
              <w:spacing w:line="360" w:lineRule="auto"/>
              <w:ind w:firstLine="560" w:firstLineChars="200"/>
              <w:rPr>
                <w:rFonts w:eastAsiaTheme="minorEastAsia"/>
                <w:b w:val="0"/>
              </w:rPr>
            </w:pPr>
            <w:r>
              <w:rPr>
                <w:rFonts w:hint="eastAsia" w:eastAsiaTheme="minorEastAsia"/>
                <w:b w:val="0"/>
              </w:rPr>
              <w:t>本项目位于同江市同街公路10公里+300米处路南侧。</w:t>
            </w:r>
          </w:p>
          <w:p>
            <w:pPr>
              <w:pStyle w:val="42"/>
              <w:spacing w:line="360" w:lineRule="auto"/>
              <w:ind w:firstLine="560" w:firstLineChars="200"/>
              <w:rPr>
                <w:rFonts w:eastAsiaTheme="minorEastAsia"/>
              </w:rPr>
            </w:pPr>
            <w:r>
              <w:rPr>
                <w:rFonts w:eastAsiaTheme="minorEastAsia"/>
              </w:rPr>
              <w:t>2 地形地貌</w:t>
            </w:r>
          </w:p>
          <w:p>
            <w:pPr>
              <w:pStyle w:val="42"/>
              <w:spacing w:line="360" w:lineRule="auto"/>
              <w:ind w:firstLine="560" w:firstLineChars="200"/>
              <w:rPr>
                <w:rFonts w:eastAsiaTheme="minorEastAsia"/>
                <w:b w:val="0"/>
              </w:rPr>
            </w:pPr>
            <w:r>
              <w:rPr>
                <w:rFonts w:hint="eastAsia" w:eastAsiaTheme="minorEastAsia"/>
                <w:b w:val="0"/>
              </w:rPr>
              <w:t>同江属三江低地冲积平原。地势由西南向东逐渐倾斜，平均海拔高度为45m-65m之间，坡降一般为1/-1/8000。西部为漫川漫岗，中部为低山残丘和平原。东部为低平地，沿江是泛滥地。由于黑龙江多次泛滥冲积和沉积作用，在沿江一带形成高漫滩。地势绝大部分比较平坦，局部地区是“钱搭子”地形，俗称漫川漫岗，坡度平缓，岗顶平坦，海拔在62m-52m，缓坡地带，坡度一般在3度以下，主要土壤类型是黑土、白浆土和草甸土，成土母质为黄土状粘土和砂壤质冲积物。</w:t>
            </w:r>
          </w:p>
          <w:p>
            <w:pPr>
              <w:pStyle w:val="42"/>
              <w:spacing w:line="360" w:lineRule="auto"/>
              <w:ind w:firstLine="560" w:firstLineChars="200"/>
              <w:rPr>
                <w:rFonts w:eastAsiaTheme="minorEastAsia"/>
              </w:rPr>
            </w:pPr>
            <w:r>
              <w:rPr>
                <w:rFonts w:eastAsiaTheme="minorEastAsia"/>
              </w:rPr>
              <w:t>3 水文</w:t>
            </w:r>
            <w:r>
              <w:rPr>
                <w:rFonts w:hint="eastAsia" w:eastAsiaTheme="minorEastAsia"/>
              </w:rPr>
              <w:t>、气候</w:t>
            </w:r>
          </w:p>
          <w:p>
            <w:pPr>
              <w:pStyle w:val="42"/>
              <w:spacing w:line="360" w:lineRule="auto"/>
              <w:ind w:firstLine="560" w:firstLineChars="200"/>
              <w:rPr>
                <w:rFonts w:eastAsiaTheme="minorEastAsia"/>
                <w:b w:val="0"/>
              </w:rPr>
            </w:pPr>
            <w:r>
              <w:rPr>
                <w:rFonts w:hint="eastAsia" w:eastAsiaTheme="minorEastAsia"/>
                <w:b w:val="0"/>
              </w:rPr>
              <w:t>松花江流经同江市，松花江从乐业平安村入境，由南向北，在距同江城东北4km的三江口处汇入黑龙江，境内流长33km，江面冬季宽度为400-800m，夏季宽度为1000-1500m，洪水期宽度为1500-2000m。全部水域面积49505亩，其中：主河道水域面积为42031亩，江通水域面积为7474亩，松花江同江段最大流量16000m3/s，最小流量130m3/s，平均流量8460 m3/s。五十年一遇洪水位55.6m，历史最高洪水位56.5m（1960年），最低水位47.4m，警戒水位53.5m，平均水位52.4m。</w:t>
            </w:r>
          </w:p>
          <w:p>
            <w:pPr>
              <w:pStyle w:val="42"/>
              <w:spacing w:line="360" w:lineRule="auto"/>
              <w:ind w:firstLine="560" w:firstLineChars="200"/>
              <w:rPr>
                <w:rFonts w:eastAsiaTheme="minorEastAsia"/>
                <w:b w:val="0"/>
              </w:rPr>
            </w:pPr>
            <w:r>
              <w:rPr>
                <w:rFonts w:hint="eastAsia" w:eastAsiaTheme="minorEastAsia"/>
                <w:b w:val="0"/>
              </w:rPr>
              <w:t>同江市位于中温带湿润气候区，属于大陆性季风气候,四季差别明显。冬季严寒漫长，多西北风，气候干燥；夏季短暂，温热多雨，多偏南风，雨水集中，气候较为湿润；春季、秋季由于冬夏季风交替，气候多变，多大风天气。年平均气温2.9度，最冷月（1月）平均气温为-20.0度，极端最低气温-40.8度。最热月（7月）平均气温22.1度，极端最高气温37.7度。年平均无霜期142天。年平均降水量532.7毫米，五至九月降水量占全年的79.2%。年平均日照时数2600小时，≥10度积温在2083.3-2786.0度之间，历年平均值为2456.8度。</w:t>
            </w:r>
          </w:p>
          <w:p>
            <w:pPr>
              <w:pStyle w:val="42"/>
              <w:spacing w:line="360" w:lineRule="auto"/>
              <w:ind w:firstLine="560" w:firstLineChars="200"/>
              <w:rPr>
                <w:rFonts w:eastAsiaTheme="minorEastAsia"/>
              </w:rPr>
            </w:pPr>
            <w:r>
              <w:rPr>
                <w:rFonts w:eastAsiaTheme="minorEastAsia"/>
              </w:rPr>
              <w:t xml:space="preserve">4 </w:t>
            </w:r>
            <w:r>
              <w:rPr>
                <w:rFonts w:hint="eastAsia" w:eastAsiaTheme="minorEastAsia"/>
              </w:rPr>
              <w:t>植被</w:t>
            </w:r>
          </w:p>
          <w:p>
            <w:pPr>
              <w:pStyle w:val="42"/>
              <w:spacing w:line="360" w:lineRule="auto"/>
              <w:ind w:firstLine="560" w:firstLineChars="200"/>
              <w:rPr>
                <w:rFonts w:eastAsiaTheme="minorEastAsia"/>
                <w:b w:val="0"/>
              </w:rPr>
            </w:pPr>
            <w:r>
              <w:rPr>
                <w:rFonts w:hint="eastAsia" w:eastAsiaTheme="minorEastAsia"/>
                <w:b w:val="0"/>
              </w:rPr>
              <w:t>同江市属森林面积71万亩，森林覆盖率达18.2%，有桦树、实生柞、落叶松、黄菠萝、水曲柳等20余个树种，有榛子、核桃、葡萄等干果与浆果，有蕨菜、蘑菇、木耳、猴头等菌类，有刺五加、黄芪、党参、穿地龙等山药材229种，总贮量近300万公斤。</w:t>
            </w:r>
          </w:p>
          <w:p>
            <w:pPr>
              <w:pStyle w:val="42"/>
              <w:spacing w:line="360" w:lineRule="auto"/>
              <w:ind w:firstLine="560" w:firstLineChars="200"/>
              <w:rPr>
                <w:rFonts w:eastAsiaTheme="minorEastAsia"/>
              </w:rPr>
            </w:pPr>
            <w:r>
              <w:rPr>
                <w:rFonts w:hint="eastAsia" w:eastAsiaTheme="minorEastAsia"/>
              </w:rPr>
              <w:t>5 动物</w:t>
            </w:r>
          </w:p>
          <w:p>
            <w:pPr>
              <w:pStyle w:val="42"/>
              <w:spacing w:line="360" w:lineRule="auto"/>
              <w:ind w:firstLine="560" w:firstLineChars="200"/>
              <w:rPr>
                <w:rFonts w:eastAsiaTheme="minorEastAsia"/>
                <w:b w:val="0"/>
              </w:rPr>
            </w:pPr>
            <w:r>
              <w:rPr>
                <w:rFonts w:hint="eastAsia" w:eastAsiaTheme="minorEastAsia"/>
                <w:b w:val="0"/>
              </w:rPr>
              <w:t>同江市境内野生动物有熊、野猪、狍子、野鸡等。鱼16类73种。鱼类主要有黑龙江野鲤、大白鱼、草鱼、鲫鱼等，还有比较名贵的鲟鳇鱼、鲑鱼。</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c>
      </w:tr>
    </w:tbl>
    <w:p>
      <w:pPr>
        <w:pageBreakBefore/>
        <w:spacing w:line="240" w:lineRule="atLeast"/>
        <w:outlineLvl w:val="0"/>
        <w:rPr>
          <w:rFonts w:ascii="Times New Roman" w:hAnsi="Times New Roman" w:eastAsiaTheme="minorEastAsia"/>
          <w:b/>
          <w:bCs/>
          <w:kern w:val="18"/>
          <w:sz w:val="32"/>
          <w:szCs w:val="28"/>
        </w:rPr>
      </w:pPr>
      <w:bookmarkStart w:id="2" w:name="_Toc536626589"/>
      <w:r>
        <w:rPr>
          <w:rFonts w:ascii="Times New Roman" w:hAnsi="Times New Roman" w:eastAsiaTheme="minorEastAsia"/>
          <w:b/>
          <w:bCs/>
          <w:kern w:val="18"/>
          <w:sz w:val="32"/>
          <w:szCs w:val="28"/>
        </w:rPr>
        <w:t>环境质量状况</w:t>
      </w:r>
      <w:bookmarkEnd w:id="2"/>
    </w:p>
    <w:tbl>
      <w:tblPr>
        <w:tblStyle w:val="2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33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5000" w:type="pct"/>
          </w:tcPr>
          <w:p>
            <w:pPr>
              <w:pStyle w:val="21"/>
              <w:spacing w:after="0" w:line="360" w:lineRule="auto"/>
              <w:jc w:val="left"/>
              <w:rPr>
                <w:rFonts w:ascii="Times New Roman" w:hAnsi="Times New Roman" w:eastAsiaTheme="minorEastAsia"/>
                <w:b/>
                <w:sz w:val="28"/>
              </w:rPr>
            </w:pPr>
            <w:r>
              <w:rPr>
                <w:rFonts w:ascii="Times New Roman" w:hAnsi="Times New Roman" w:eastAsiaTheme="minorEastAsia"/>
                <w:b/>
                <w:sz w:val="28"/>
              </w:rPr>
              <w:t>建设项目所在地区环境质量现状及主要环境问题（环境空气、地表水、声环境等）：</w:t>
            </w:r>
          </w:p>
          <w:p>
            <w:pPr>
              <w:pStyle w:val="21"/>
              <w:spacing w:after="0" w:line="360" w:lineRule="auto"/>
              <w:ind w:firstLine="560" w:firstLineChars="200"/>
              <w:jc w:val="left"/>
              <w:rPr>
                <w:rFonts w:ascii="Times New Roman" w:hAnsi="Times New Roman" w:eastAsiaTheme="minorEastAsia"/>
                <w:b/>
                <w:sz w:val="28"/>
              </w:rPr>
            </w:pPr>
            <w:r>
              <w:rPr>
                <w:rFonts w:ascii="Times New Roman" w:hAnsi="Times New Roman" w:eastAsiaTheme="minorEastAsia"/>
                <w:b/>
                <w:sz w:val="28"/>
              </w:rPr>
              <w:t>1、环境空气</w:t>
            </w:r>
          </w:p>
          <w:p>
            <w:pPr>
              <w:spacing w:line="360" w:lineRule="auto"/>
              <w:ind w:firstLine="560" w:firstLineChars="200"/>
              <w:rPr>
                <w:rFonts w:ascii="Times New Roman" w:hAnsi="宋体"/>
                <w:sz w:val="28"/>
                <w:szCs w:val="28"/>
              </w:rPr>
            </w:pPr>
            <w:r>
              <w:rPr>
                <w:rFonts w:hint="eastAsia" w:ascii="Times New Roman" w:hAnsi="宋体"/>
                <w:sz w:val="28"/>
                <w:szCs w:val="28"/>
              </w:rPr>
              <w:t>（</w:t>
            </w:r>
            <w:r>
              <w:rPr>
                <w:rFonts w:ascii="Times New Roman" w:hAnsi="宋体"/>
                <w:sz w:val="28"/>
                <w:szCs w:val="28"/>
              </w:rPr>
              <w:t>1</w:t>
            </w:r>
            <w:r>
              <w:rPr>
                <w:rFonts w:hint="eastAsia" w:ascii="Times New Roman" w:hAnsi="宋体"/>
                <w:sz w:val="28"/>
                <w:szCs w:val="28"/>
              </w:rPr>
              <w:t>）基本污染物</w:t>
            </w:r>
          </w:p>
          <w:p>
            <w:pPr>
              <w:spacing w:line="360" w:lineRule="auto"/>
              <w:ind w:firstLine="473" w:firstLineChars="169"/>
              <w:rPr>
                <w:rFonts w:ascii="Times New Roman" w:hAnsi="Times New Roman"/>
                <w:sz w:val="28"/>
                <w:szCs w:val="28"/>
              </w:rPr>
            </w:pPr>
            <w:r>
              <w:rPr>
                <w:rFonts w:hint="eastAsia" w:ascii="Times New Roman" w:hAnsi="宋体"/>
                <w:sz w:val="28"/>
                <w:szCs w:val="28"/>
              </w:rPr>
              <w:t>环境空气质量现状采用同江政府门户网站上发布的《2018年1季度大气自动监测数据》、《2018年2季度大气自动监测数据》、《2018年3季度大气自动监测数据》、《2018年4季度大气自动监测数据》评价基准年2018年同江市环境空气质量自动监测数据。2018年同江市环境空气质量全年有效监测天数为322天，环境空气质量指数AQI达到和好于二级的优良天数为309天，达标比例为95.96%；其中一级优为205天，二级良为104天，三级轻度污染为13天。同江市环境空气质量现状评价见下表。</w:t>
            </w:r>
          </w:p>
          <w:p>
            <w:pPr>
              <w:spacing w:line="360" w:lineRule="auto"/>
              <w:jc w:val="center"/>
              <w:rPr>
                <w:b/>
                <w:sz w:val="24"/>
                <w:szCs w:val="24"/>
              </w:rPr>
            </w:pPr>
            <w:r>
              <w:rPr>
                <w:rFonts w:hint="eastAsia"/>
                <w:b/>
                <w:sz w:val="24"/>
                <w:szCs w:val="24"/>
              </w:rPr>
              <w:t xml:space="preserve">表10   </w:t>
            </w:r>
            <w:r>
              <w:rPr>
                <w:b/>
                <w:sz w:val="24"/>
                <w:szCs w:val="24"/>
              </w:rPr>
              <w:t xml:space="preserve"> </w:t>
            </w:r>
            <w:r>
              <w:rPr>
                <w:rFonts w:hint="eastAsia"/>
                <w:b/>
                <w:sz w:val="24"/>
                <w:szCs w:val="24"/>
              </w:rPr>
              <w:t>区域空气质量现状评价表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3278"/>
              <w:gridCol w:w="1095"/>
              <w:gridCol w:w="1312"/>
              <w:gridCol w:w="1467"/>
              <w:gridCol w:w="109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tcBorders>
                    <w:tl2br w:val="nil"/>
                    <w:tr2bl w:val="nil"/>
                  </w:tcBorders>
                  <w:vAlign w:val="center"/>
                </w:tcPr>
                <w:p>
                  <w:pPr>
                    <w:jc w:val="center"/>
                    <w:rPr>
                      <w:szCs w:val="21"/>
                    </w:rPr>
                  </w:pPr>
                  <w:r>
                    <w:rPr>
                      <w:rFonts w:hint="eastAsia"/>
                      <w:szCs w:val="21"/>
                    </w:rPr>
                    <w:t>污染物</w:t>
                  </w:r>
                </w:p>
              </w:tc>
              <w:tc>
                <w:tcPr>
                  <w:tcW w:w="1797" w:type="pct"/>
                  <w:tcBorders>
                    <w:tl2br w:val="nil"/>
                    <w:tr2bl w:val="nil"/>
                  </w:tcBorders>
                  <w:vAlign w:val="center"/>
                </w:tcPr>
                <w:p>
                  <w:pPr>
                    <w:jc w:val="center"/>
                    <w:rPr>
                      <w:szCs w:val="21"/>
                    </w:rPr>
                  </w:pPr>
                  <w:r>
                    <w:rPr>
                      <w:rFonts w:hint="eastAsia"/>
                      <w:szCs w:val="21"/>
                    </w:rPr>
                    <w:t>年评价指标</w:t>
                  </w:r>
                </w:p>
              </w:tc>
              <w:tc>
                <w:tcPr>
                  <w:tcW w:w="600" w:type="pct"/>
                  <w:tcBorders>
                    <w:tl2br w:val="nil"/>
                    <w:tr2bl w:val="nil"/>
                  </w:tcBorders>
                  <w:vAlign w:val="center"/>
                </w:tcPr>
                <w:p>
                  <w:pPr>
                    <w:jc w:val="center"/>
                    <w:rPr>
                      <w:szCs w:val="21"/>
                    </w:rPr>
                  </w:pPr>
                  <w:r>
                    <w:rPr>
                      <w:rFonts w:hint="eastAsia"/>
                      <w:szCs w:val="21"/>
                    </w:rPr>
                    <w:t>现状浓度</w:t>
                  </w:r>
                </w:p>
              </w:tc>
              <w:tc>
                <w:tcPr>
                  <w:tcW w:w="719" w:type="pct"/>
                  <w:tcBorders>
                    <w:tl2br w:val="nil"/>
                    <w:tr2bl w:val="nil"/>
                  </w:tcBorders>
                  <w:vAlign w:val="center"/>
                </w:tcPr>
                <w:p>
                  <w:pPr>
                    <w:jc w:val="center"/>
                    <w:rPr>
                      <w:szCs w:val="21"/>
                    </w:rPr>
                  </w:pPr>
                  <w:r>
                    <w:rPr>
                      <w:rFonts w:hint="eastAsia"/>
                      <w:szCs w:val="21"/>
                    </w:rPr>
                    <w:t>二级标准值</w:t>
                  </w:r>
                </w:p>
              </w:tc>
              <w:tc>
                <w:tcPr>
                  <w:tcW w:w="804" w:type="pct"/>
                  <w:tcBorders>
                    <w:tl2br w:val="nil"/>
                    <w:tr2bl w:val="nil"/>
                  </w:tcBorders>
                  <w:vAlign w:val="center"/>
                </w:tcPr>
                <w:p>
                  <w:pPr>
                    <w:jc w:val="center"/>
                    <w:rPr>
                      <w:szCs w:val="21"/>
                    </w:rPr>
                  </w:pPr>
                  <w:r>
                    <w:rPr>
                      <w:rFonts w:hint="eastAsia"/>
                      <w:szCs w:val="21"/>
                    </w:rPr>
                    <w:t>占标率（%）</w:t>
                  </w:r>
                </w:p>
              </w:tc>
              <w:tc>
                <w:tcPr>
                  <w:tcW w:w="600" w:type="pct"/>
                  <w:tcBorders>
                    <w:tl2br w:val="nil"/>
                    <w:tr2bl w:val="nil"/>
                  </w:tcBorders>
                  <w:vAlign w:val="center"/>
                </w:tcPr>
                <w:p>
                  <w:pPr>
                    <w:jc w:val="center"/>
                    <w:rPr>
                      <w:szCs w:val="21"/>
                    </w:rPr>
                  </w:pPr>
                  <w:r>
                    <w:rPr>
                      <w:rFonts w:hint="eastAsia"/>
                      <w:szCs w:val="21"/>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restart"/>
                  <w:tcBorders>
                    <w:tl2br w:val="nil"/>
                    <w:tr2bl w:val="nil"/>
                  </w:tcBorders>
                  <w:vAlign w:val="center"/>
                </w:tcPr>
                <w:p>
                  <w:pPr>
                    <w:jc w:val="center"/>
                    <w:rPr>
                      <w:szCs w:val="21"/>
                    </w:rPr>
                  </w:pPr>
                  <w:r>
                    <w:rPr>
                      <w:rFonts w:hint="eastAsia"/>
                      <w:szCs w:val="21"/>
                    </w:rPr>
                    <w:t>SO</w:t>
                  </w:r>
                  <w:r>
                    <w:rPr>
                      <w:rFonts w:hint="eastAsia"/>
                      <w:szCs w:val="21"/>
                      <w:vertAlign w:val="subscript"/>
                    </w:rPr>
                    <w:t>2</w:t>
                  </w:r>
                </w:p>
              </w:tc>
              <w:tc>
                <w:tcPr>
                  <w:tcW w:w="1797" w:type="pct"/>
                  <w:tcBorders>
                    <w:tl2br w:val="nil"/>
                    <w:tr2bl w:val="nil"/>
                  </w:tcBorders>
                  <w:vAlign w:val="center"/>
                </w:tcPr>
                <w:p>
                  <w:pPr>
                    <w:jc w:val="center"/>
                    <w:rPr>
                      <w:szCs w:val="21"/>
                    </w:rPr>
                  </w:pPr>
                  <w:r>
                    <w:rPr>
                      <w:rFonts w:hint="eastAsia"/>
                      <w:szCs w:val="21"/>
                    </w:rPr>
                    <w:t>年平均质量浓度</w:t>
                  </w:r>
                </w:p>
              </w:tc>
              <w:tc>
                <w:tcPr>
                  <w:tcW w:w="600" w:type="pct"/>
                  <w:tcBorders>
                    <w:tl2br w:val="nil"/>
                    <w:tr2bl w:val="nil"/>
                  </w:tcBorders>
                  <w:vAlign w:val="center"/>
                </w:tcPr>
                <w:p>
                  <w:pPr>
                    <w:jc w:val="center"/>
                    <w:rPr>
                      <w:szCs w:val="21"/>
                    </w:rPr>
                  </w:pPr>
                  <w:r>
                    <w:rPr>
                      <w:rFonts w:hint="eastAsia"/>
                      <w:szCs w:val="21"/>
                    </w:rPr>
                    <w:t>8</w:t>
                  </w:r>
                </w:p>
              </w:tc>
              <w:tc>
                <w:tcPr>
                  <w:tcW w:w="719" w:type="pct"/>
                  <w:tcBorders>
                    <w:tl2br w:val="nil"/>
                    <w:tr2bl w:val="nil"/>
                  </w:tcBorders>
                  <w:vAlign w:val="center"/>
                </w:tcPr>
                <w:p>
                  <w:pPr>
                    <w:jc w:val="center"/>
                    <w:rPr>
                      <w:szCs w:val="21"/>
                    </w:rPr>
                  </w:pPr>
                  <w:r>
                    <w:rPr>
                      <w:rFonts w:hint="eastAsia"/>
                      <w:szCs w:val="21"/>
                    </w:rPr>
                    <w:t>60</w:t>
                  </w:r>
                </w:p>
              </w:tc>
              <w:tc>
                <w:tcPr>
                  <w:tcW w:w="804" w:type="pct"/>
                  <w:tcBorders>
                    <w:tl2br w:val="nil"/>
                    <w:tr2bl w:val="nil"/>
                  </w:tcBorders>
                  <w:vAlign w:val="center"/>
                </w:tcPr>
                <w:p>
                  <w:pPr>
                    <w:jc w:val="center"/>
                    <w:rPr>
                      <w:szCs w:val="21"/>
                    </w:rPr>
                  </w:pPr>
                  <w:r>
                    <w:rPr>
                      <w:rFonts w:hint="eastAsia"/>
                      <w:szCs w:val="21"/>
                    </w:rPr>
                    <w:t>13.3</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continue"/>
                  <w:tcBorders>
                    <w:tl2br w:val="nil"/>
                    <w:tr2bl w:val="nil"/>
                  </w:tcBorders>
                  <w:vAlign w:val="center"/>
                </w:tcPr>
                <w:p>
                  <w:pPr>
                    <w:jc w:val="center"/>
                    <w:rPr>
                      <w:szCs w:val="21"/>
                    </w:rPr>
                  </w:pPr>
                </w:p>
              </w:tc>
              <w:tc>
                <w:tcPr>
                  <w:tcW w:w="1797" w:type="pct"/>
                  <w:tcBorders>
                    <w:tl2br w:val="nil"/>
                    <w:tr2bl w:val="nil"/>
                  </w:tcBorders>
                  <w:vAlign w:val="center"/>
                </w:tcPr>
                <w:p>
                  <w:pPr>
                    <w:jc w:val="center"/>
                    <w:rPr>
                      <w:szCs w:val="21"/>
                    </w:rPr>
                  </w:pPr>
                  <w:r>
                    <w:rPr>
                      <w:rFonts w:hint="eastAsia"/>
                      <w:szCs w:val="21"/>
                    </w:rPr>
                    <w:t>第98百分位数日平均质量浓度</w:t>
                  </w:r>
                </w:p>
              </w:tc>
              <w:tc>
                <w:tcPr>
                  <w:tcW w:w="600" w:type="pct"/>
                  <w:tcBorders>
                    <w:tl2br w:val="nil"/>
                    <w:tr2bl w:val="nil"/>
                  </w:tcBorders>
                  <w:vAlign w:val="center"/>
                </w:tcPr>
                <w:p>
                  <w:pPr>
                    <w:jc w:val="center"/>
                    <w:rPr>
                      <w:szCs w:val="21"/>
                    </w:rPr>
                  </w:pPr>
                  <w:r>
                    <w:rPr>
                      <w:rFonts w:hint="eastAsia"/>
                      <w:szCs w:val="21"/>
                    </w:rPr>
                    <w:t>17</w:t>
                  </w:r>
                </w:p>
              </w:tc>
              <w:tc>
                <w:tcPr>
                  <w:tcW w:w="719" w:type="pct"/>
                  <w:tcBorders>
                    <w:tl2br w:val="nil"/>
                    <w:tr2bl w:val="nil"/>
                  </w:tcBorders>
                  <w:vAlign w:val="center"/>
                </w:tcPr>
                <w:p>
                  <w:pPr>
                    <w:jc w:val="center"/>
                    <w:rPr>
                      <w:szCs w:val="21"/>
                    </w:rPr>
                  </w:pPr>
                  <w:r>
                    <w:rPr>
                      <w:rFonts w:hint="eastAsia"/>
                      <w:szCs w:val="21"/>
                    </w:rPr>
                    <w:t>150</w:t>
                  </w:r>
                </w:p>
              </w:tc>
              <w:tc>
                <w:tcPr>
                  <w:tcW w:w="804" w:type="pct"/>
                  <w:tcBorders>
                    <w:tl2br w:val="nil"/>
                    <w:tr2bl w:val="nil"/>
                  </w:tcBorders>
                  <w:vAlign w:val="center"/>
                </w:tcPr>
                <w:p>
                  <w:pPr>
                    <w:jc w:val="center"/>
                    <w:rPr>
                      <w:szCs w:val="21"/>
                    </w:rPr>
                  </w:pPr>
                  <w:r>
                    <w:rPr>
                      <w:rFonts w:hint="eastAsia"/>
                      <w:szCs w:val="21"/>
                    </w:rPr>
                    <w:t>11.3</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restart"/>
                  <w:tcBorders>
                    <w:tl2br w:val="nil"/>
                    <w:tr2bl w:val="nil"/>
                  </w:tcBorders>
                  <w:vAlign w:val="center"/>
                </w:tcPr>
                <w:p>
                  <w:pPr>
                    <w:jc w:val="center"/>
                    <w:rPr>
                      <w:szCs w:val="21"/>
                    </w:rPr>
                  </w:pPr>
                  <w:r>
                    <w:rPr>
                      <w:rFonts w:hint="eastAsia"/>
                      <w:szCs w:val="21"/>
                    </w:rPr>
                    <w:t>NO</w:t>
                  </w:r>
                  <w:r>
                    <w:rPr>
                      <w:rFonts w:hint="eastAsia"/>
                      <w:szCs w:val="21"/>
                      <w:vertAlign w:val="subscript"/>
                    </w:rPr>
                    <w:t>2</w:t>
                  </w:r>
                </w:p>
              </w:tc>
              <w:tc>
                <w:tcPr>
                  <w:tcW w:w="1797" w:type="pct"/>
                  <w:tcBorders>
                    <w:tl2br w:val="nil"/>
                    <w:tr2bl w:val="nil"/>
                  </w:tcBorders>
                  <w:vAlign w:val="center"/>
                </w:tcPr>
                <w:p>
                  <w:pPr>
                    <w:jc w:val="center"/>
                    <w:rPr>
                      <w:szCs w:val="21"/>
                    </w:rPr>
                  </w:pPr>
                  <w:r>
                    <w:rPr>
                      <w:rFonts w:hint="eastAsia"/>
                      <w:szCs w:val="21"/>
                    </w:rPr>
                    <w:t>年平均质量浓度</w:t>
                  </w:r>
                </w:p>
              </w:tc>
              <w:tc>
                <w:tcPr>
                  <w:tcW w:w="600" w:type="pct"/>
                  <w:tcBorders>
                    <w:tl2br w:val="nil"/>
                    <w:tr2bl w:val="nil"/>
                  </w:tcBorders>
                  <w:vAlign w:val="center"/>
                </w:tcPr>
                <w:p>
                  <w:pPr>
                    <w:jc w:val="center"/>
                    <w:rPr>
                      <w:szCs w:val="21"/>
                    </w:rPr>
                  </w:pPr>
                  <w:r>
                    <w:rPr>
                      <w:rFonts w:hint="eastAsia"/>
                      <w:szCs w:val="21"/>
                    </w:rPr>
                    <w:t>9</w:t>
                  </w:r>
                </w:p>
              </w:tc>
              <w:tc>
                <w:tcPr>
                  <w:tcW w:w="719" w:type="pct"/>
                  <w:tcBorders>
                    <w:tl2br w:val="nil"/>
                    <w:tr2bl w:val="nil"/>
                  </w:tcBorders>
                  <w:vAlign w:val="center"/>
                </w:tcPr>
                <w:p>
                  <w:pPr>
                    <w:jc w:val="center"/>
                    <w:rPr>
                      <w:szCs w:val="21"/>
                    </w:rPr>
                  </w:pPr>
                  <w:r>
                    <w:rPr>
                      <w:rFonts w:hint="eastAsia"/>
                      <w:szCs w:val="21"/>
                    </w:rPr>
                    <w:t>40</w:t>
                  </w:r>
                </w:p>
              </w:tc>
              <w:tc>
                <w:tcPr>
                  <w:tcW w:w="804" w:type="pct"/>
                  <w:tcBorders>
                    <w:tl2br w:val="nil"/>
                    <w:tr2bl w:val="nil"/>
                  </w:tcBorders>
                  <w:vAlign w:val="center"/>
                </w:tcPr>
                <w:p>
                  <w:pPr>
                    <w:jc w:val="center"/>
                    <w:rPr>
                      <w:szCs w:val="21"/>
                    </w:rPr>
                  </w:pPr>
                  <w:r>
                    <w:rPr>
                      <w:rFonts w:hint="eastAsia"/>
                      <w:szCs w:val="21"/>
                    </w:rPr>
                    <w:t>22.5</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continue"/>
                  <w:tcBorders>
                    <w:tl2br w:val="nil"/>
                    <w:tr2bl w:val="nil"/>
                  </w:tcBorders>
                  <w:vAlign w:val="center"/>
                </w:tcPr>
                <w:p>
                  <w:pPr>
                    <w:jc w:val="center"/>
                    <w:rPr>
                      <w:szCs w:val="21"/>
                    </w:rPr>
                  </w:pPr>
                </w:p>
              </w:tc>
              <w:tc>
                <w:tcPr>
                  <w:tcW w:w="1797" w:type="pct"/>
                  <w:tcBorders>
                    <w:tl2br w:val="nil"/>
                    <w:tr2bl w:val="nil"/>
                  </w:tcBorders>
                  <w:vAlign w:val="center"/>
                </w:tcPr>
                <w:p>
                  <w:pPr>
                    <w:jc w:val="center"/>
                    <w:rPr>
                      <w:szCs w:val="21"/>
                    </w:rPr>
                  </w:pPr>
                  <w:r>
                    <w:rPr>
                      <w:rFonts w:hint="eastAsia"/>
                      <w:szCs w:val="21"/>
                    </w:rPr>
                    <w:t>第98百分位数日平均质量浓度</w:t>
                  </w:r>
                </w:p>
              </w:tc>
              <w:tc>
                <w:tcPr>
                  <w:tcW w:w="600" w:type="pct"/>
                  <w:tcBorders>
                    <w:tl2br w:val="nil"/>
                    <w:tr2bl w:val="nil"/>
                  </w:tcBorders>
                  <w:vAlign w:val="center"/>
                </w:tcPr>
                <w:p>
                  <w:pPr>
                    <w:jc w:val="center"/>
                    <w:rPr>
                      <w:szCs w:val="21"/>
                    </w:rPr>
                  </w:pPr>
                  <w:r>
                    <w:rPr>
                      <w:rFonts w:hint="eastAsia"/>
                      <w:szCs w:val="21"/>
                    </w:rPr>
                    <w:t>30</w:t>
                  </w:r>
                </w:p>
              </w:tc>
              <w:tc>
                <w:tcPr>
                  <w:tcW w:w="719" w:type="pct"/>
                  <w:tcBorders>
                    <w:tl2br w:val="nil"/>
                    <w:tr2bl w:val="nil"/>
                  </w:tcBorders>
                  <w:vAlign w:val="center"/>
                </w:tcPr>
                <w:p>
                  <w:pPr>
                    <w:jc w:val="center"/>
                    <w:rPr>
                      <w:szCs w:val="21"/>
                    </w:rPr>
                  </w:pPr>
                  <w:r>
                    <w:rPr>
                      <w:rFonts w:hint="eastAsia"/>
                      <w:szCs w:val="21"/>
                    </w:rPr>
                    <w:t>80</w:t>
                  </w:r>
                </w:p>
              </w:tc>
              <w:tc>
                <w:tcPr>
                  <w:tcW w:w="804" w:type="pct"/>
                  <w:tcBorders>
                    <w:tl2br w:val="nil"/>
                    <w:tr2bl w:val="nil"/>
                  </w:tcBorders>
                  <w:vAlign w:val="center"/>
                </w:tcPr>
                <w:p>
                  <w:pPr>
                    <w:jc w:val="center"/>
                    <w:rPr>
                      <w:szCs w:val="21"/>
                    </w:rPr>
                  </w:pPr>
                  <w:r>
                    <w:rPr>
                      <w:rFonts w:hint="eastAsia"/>
                      <w:szCs w:val="21"/>
                    </w:rPr>
                    <w:t>37.5</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restart"/>
                  <w:tcBorders>
                    <w:tl2br w:val="nil"/>
                    <w:tr2bl w:val="nil"/>
                  </w:tcBorders>
                  <w:vAlign w:val="center"/>
                </w:tcPr>
                <w:p>
                  <w:pPr>
                    <w:jc w:val="center"/>
                    <w:rPr>
                      <w:szCs w:val="21"/>
                    </w:rPr>
                  </w:pPr>
                  <w:r>
                    <w:rPr>
                      <w:rFonts w:hint="eastAsia"/>
                      <w:szCs w:val="21"/>
                    </w:rPr>
                    <w:t>PM</w:t>
                  </w:r>
                  <w:r>
                    <w:rPr>
                      <w:rFonts w:hint="eastAsia"/>
                      <w:szCs w:val="21"/>
                      <w:vertAlign w:val="subscript"/>
                    </w:rPr>
                    <w:t>10</w:t>
                  </w:r>
                </w:p>
              </w:tc>
              <w:tc>
                <w:tcPr>
                  <w:tcW w:w="1797" w:type="pct"/>
                  <w:tcBorders>
                    <w:tl2br w:val="nil"/>
                    <w:tr2bl w:val="nil"/>
                  </w:tcBorders>
                  <w:vAlign w:val="center"/>
                </w:tcPr>
                <w:p>
                  <w:pPr>
                    <w:jc w:val="center"/>
                    <w:rPr>
                      <w:szCs w:val="21"/>
                    </w:rPr>
                  </w:pPr>
                  <w:r>
                    <w:rPr>
                      <w:rFonts w:hint="eastAsia"/>
                      <w:szCs w:val="21"/>
                    </w:rPr>
                    <w:t>年平均质量浓度</w:t>
                  </w:r>
                </w:p>
              </w:tc>
              <w:tc>
                <w:tcPr>
                  <w:tcW w:w="600" w:type="pct"/>
                  <w:tcBorders>
                    <w:tl2br w:val="nil"/>
                    <w:tr2bl w:val="nil"/>
                  </w:tcBorders>
                  <w:vAlign w:val="center"/>
                </w:tcPr>
                <w:p>
                  <w:pPr>
                    <w:jc w:val="center"/>
                    <w:rPr>
                      <w:szCs w:val="21"/>
                    </w:rPr>
                  </w:pPr>
                  <w:r>
                    <w:rPr>
                      <w:rFonts w:hint="eastAsia"/>
                      <w:szCs w:val="21"/>
                    </w:rPr>
                    <w:t>31</w:t>
                  </w:r>
                </w:p>
              </w:tc>
              <w:tc>
                <w:tcPr>
                  <w:tcW w:w="719" w:type="pct"/>
                  <w:tcBorders>
                    <w:tl2br w:val="nil"/>
                    <w:tr2bl w:val="nil"/>
                  </w:tcBorders>
                  <w:vAlign w:val="center"/>
                </w:tcPr>
                <w:p>
                  <w:pPr>
                    <w:jc w:val="center"/>
                    <w:rPr>
                      <w:szCs w:val="21"/>
                    </w:rPr>
                  </w:pPr>
                  <w:r>
                    <w:rPr>
                      <w:rFonts w:hint="eastAsia"/>
                      <w:szCs w:val="21"/>
                    </w:rPr>
                    <w:t>70</w:t>
                  </w:r>
                </w:p>
              </w:tc>
              <w:tc>
                <w:tcPr>
                  <w:tcW w:w="804" w:type="pct"/>
                  <w:tcBorders>
                    <w:tl2br w:val="nil"/>
                    <w:tr2bl w:val="nil"/>
                  </w:tcBorders>
                  <w:vAlign w:val="center"/>
                </w:tcPr>
                <w:p>
                  <w:pPr>
                    <w:jc w:val="center"/>
                    <w:rPr>
                      <w:szCs w:val="21"/>
                    </w:rPr>
                  </w:pPr>
                  <w:r>
                    <w:rPr>
                      <w:rFonts w:hint="eastAsia"/>
                      <w:szCs w:val="21"/>
                    </w:rPr>
                    <w:t>81.4</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continue"/>
                  <w:tcBorders>
                    <w:tl2br w:val="nil"/>
                    <w:tr2bl w:val="nil"/>
                  </w:tcBorders>
                  <w:vAlign w:val="center"/>
                </w:tcPr>
                <w:p>
                  <w:pPr>
                    <w:jc w:val="center"/>
                    <w:rPr>
                      <w:szCs w:val="21"/>
                    </w:rPr>
                  </w:pPr>
                </w:p>
              </w:tc>
              <w:tc>
                <w:tcPr>
                  <w:tcW w:w="1797" w:type="pct"/>
                  <w:tcBorders>
                    <w:tl2br w:val="nil"/>
                    <w:tr2bl w:val="nil"/>
                  </w:tcBorders>
                  <w:vAlign w:val="center"/>
                </w:tcPr>
                <w:p>
                  <w:pPr>
                    <w:jc w:val="center"/>
                    <w:rPr>
                      <w:szCs w:val="21"/>
                    </w:rPr>
                  </w:pPr>
                  <w:r>
                    <w:rPr>
                      <w:rFonts w:hint="eastAsia"/>
                      <w:szCs w:val="21"/>
                    </w:rPr>
                    <w:t>第95百分位数日平均质量浓度</w:t>
                  </w:r>
                </w:p>
              </w:tc>
              <w:tc>
                <w:tcPr>
                  <w:tcW w:w="600" w:type="pct"/>
                  <w:tcBorders>
                    <w:tl2br w:val="nil"/>
                    <w:tr2bl w:val="nil"/>
                  </w:tcBorders>
                  <w:vAlign w:val="center"/>
                </w:tcPr>
                <w:p>
                  <w:pPr>
                    <w:jc w:val="center"/>
                    <w:rPr>
                      <w:szCs w:val="21"/>
                    </w:rPr>
                  </w:pPr>
                  <w:r>
                    <w:rPr>
                      <w:rFonts w:hint="eastAsia"/>
                      <w:szCs w:val="21"/>
                    </w:rPr>
                    <w:t>60</w:t>
                  </w:r>
                </w:p>
              </w:tc>
              <w:tc>
                <w:tcPr>
                  <w:tcW w:w="719" w:type="pct"/>
                  <w:tcBorders>
                    <w:tl2br w:val="nil"/>
                    <w:tr2bl w:val="nil"/>
                  </w:tcBorders>
                  <w:vAlign w:val="center"/>
                </w:tcPr>
                <w:p>
                  <w:pPr>
                    <w:jc w:val="center"/>
                    <w:rPr>
                      <w:szCs w:val="21"/>
                    </w:rPr>
                  </w:pPr>
                  <w:r>
                    <w:rPr>
                      <w:rFonts w:hint="eastAsia"/>
                      <w:szCs w:val="21"/>
                    </w:rPr>
                    <w:t>150</w:t>
                  </w:r>
                </w:p>
              </w:tc>
              <w:tc>
                <w:tcPr>
                  <w:tcW w:w="804" w:type="pct"/>
                  <w:tcBorders>
                    <w:tl2br w:val="nil"/>
                    <w:tr2bl w:val="nil"/>
                  </w:tcBorders>
                  <w:vAlign w:val="center"/>
                </w:tcPr>
                <w:p>
                  <w:pPr>
                    <w:jc w:val="center"/>
                    <w:rPr>
                      <w:szCs w:val="21"/>
                    </w:rPr>
                  </w:pPr>
                  <w:r>
                    <w:rPr>
                      <w:rFonts w:hint="eastAsia"/>
                      <w:szCs w:val="21"/>
                    </w:rPr>
                    <w:t>40.0</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restart"/>
                  <w:tcBorders>
                    <w:tl2br w:val="nil"/>
                    <w:tr2bl w:val="nil"/>
                  </w:tcBorders>
                  <w:vAlign w:val="center"/>
                </w:tcPr>
                <w:p>
                  <w:pPr>
                    <w:jc w:val="center"/>
                    <w:rPr>
                      <w:szCs w:val="21"/>
                    </w:rPr>
                  </w:pPr>
                  <w:r>
                    <w:rPr>
                      <w:rFonts w:hint="eastAsia"/>
                      <w:szCs w:val="21"/>
                    </w:rPr>
                    <w:t>PM</w:t>
                  </w:r>
                  <w:r>
                    <w:rPr>
                      <w:rFonts w:hint="eastAsia"/>
                      <w:szCs w:val="21"/>
                      <w:vertAlign w:val="subscript"/>
                    </w:rPr>
                    <w:t>2.5</w:t>
                  </w:r>
                </w:p>
              </w:tc>
              <w:tc>
                <w:tcPr>
                  <w:tcW w:w="1797" w:type="pct"/>
                  <w:tcBorders>
                    <w:tl2br w:val="nil"/>
                    <w:tr2bl w:val="nil"/>
                  </w:tcBorders>
                  <w:vAlign w:val="center"/>
                </w:tcPr>
                <w:p>
                  <w:pPr>
                    <w:jc w:val="center"/>
                    <w:rPr>
                      <w:szCs w:val="21"/>
                    </w:rPr>
                  </w:pPr>
                  <w:r>
                    <w:rPr>
                      <w:rFonts w:hint="eastAsia"/>
                      <w:szCs w:val="21"/>
                    </w:rPr>
                    <w:t>年平均质量浓度</w:t>
                  </w:r>
                </w:p>
              </w:tc>
              <w:tc>
                <w:tcPr>
                  <w:tcW w:w="600" w:type="pct"/>
                  <w:tcBorders>
                    <w:tl2br w:val="nil"/>
                    <w:tr2bl w:val="nil"/>
                  </w:tcBorders>
                  <w:vAlign w:val="center"/>
                </w:tcPr>
                <w:p>
                  <w:pPr>
                    <w:jc w:val="center"/>
                    <w:rPr>
                      <w:szCs w:val="21"/>
                    </w:rPr>
                  </w:pPr>
                  <w:r>
                    <w:rPr>
                      <w:rFonts w:hint="eastAsia"/>
                      <w:szCs w:val="21"/>
                    </w:rPr>
                    <w:t>20</w:t>
                  </w:r>
                </w:p>
              </w:tc>
              <w:tc>
                <w:tcPr>
                  <w:tcW w:w="719" w:type="pct"/>
                  <w:tcBorders>
                    <w:tl2br w:val="nil"/>
                    <w:tr2bl w:val="nil"/>
                  </w:tcBorders>
                  <w:vAlign w:val="center"/>
                </w:tcPr>
                <w:p>
                  <w:pPr>
                    <w:jc w:val="center"/>
                    <w:rPr>
                      <w:szCs w:val="21"/>
                    </w:rPr>
                  </w:pPr>
                  <w:r>
                    <w:rPr>
                      <w:rFonts w:hint="eastAsia"/>
                      <w:szCs w:val="21"/>
                    </w:rPr>
                    <w:t>35</w:t>
                  </w:r>
                </w:p>
              </w:tc>
              <w:tc>
                <w:tcPr>
                  <w:tcW w:w="804" w:type="pct"/>
                  <w:tcBorders>
                    <w:tl2br w:val="nil"/>
                    <w:tr2bl w:val="nil"/>
                  </w:tcBorders>
                  <w:vAlign w:val="center"/>
                </w:tcPr>
                <w:p>
                  <w:pPr>
                    <w:jc w:val="center"/>
                    <w:rPr>
                      <w:szCs w:val="21"/>
                    </w:rPr>
                  </w:pPr>
                  <w:r>
                    <w:rPr>
                      <w:rFonts w:hint="eastAsia"/>
                      <w:szCs w:val="21"/>
                    </w:rPr>
                    <w:t>57.1</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continue"/>
                  <w:tcBorders>
                    <w:tl2br w:val="nil"/>
                    <w:tr2bl w:val="nil"/>
                  </w:tcBorders>
                  <w:vAlign w:val="center"/>
                </w:tcPr>
                <w:p>
                  <w:pPr>
                    <w:jc w:val="center"/>
                    <w:rPr>
                      <w:szCs w:val="21"/>
                    </w:rPr>
                  </w:pPr>
                </w:p>
              </w:tc>
              <w:tc>
                <w:tcPr>
                  <w:tcW w:w="1797" w:type="pct"/>
                  <w:tcBorders>
                    <w:tl2br w:val="nil"/>
                    <w:tr2bl w:val="nil"/>
                  </w:tcBorders>
                  <w:vAlign w:val="center"/>
                </w:tcPr>
                <w:p>
                  <w:pPr>
                    <w:jc w:val="center"/>
                    <w:rPr>
                      <w:szCs w:val="21"/>
                    </w:rPr>
                  </w:pPr>
                  <w:r>
                    <w:rPr>
                      <w:rFonts w:hint="eastAsia"/>
                      <w:szCs w:val="21"/>
                    </w:rPr>
                    <w:t>第95百分位数日平均质量浓度</w:t>
                  </w:r>
                </w:p>
              </w:tc>
              <w:tc>
                <w:tcPr>
                  <w:tcW w:w="600" w:type="pct"/>
                  <w:tcBorders>
                    <w:tl2br w:val="nil"/>
                    <w:tr2bl w:val="nil"/>
                  </w:tcBorders>
                  <w:vAlign w:val="center"/>
                </w:tcPr>
                <w:p>
                  <w:pPr>
                    <w:jc w:val="center"/>
                    <w:rPr>
                      <w:szCs w:val="21"/>
                    </w:rPr>
                  </w:pPr>
                  <w:r>
                    <w:rPr>
                      <w:rFonts w:hint="eastAsia"/>
                      <w:szCs w:val="21"/>
                    </w:rPr>
                    <w:t>44</w:t>
                  </w:r>
                </w:p>
              </w:tc>
              <w:tc>
                <w:tcPr>
                  <w:tcW w:w="719" w:type="pct"/>
                  <w:tcBorders>
                    <w:tl2br w:val="nil"/>
                    <w:tr2bl w:val="nil"/>
                  </w:tcBorders>
                  <w:vAlign w:val="center"/>
                </w:tcPr>
                <w:p>
                  <w:pPr>
                    <w:jc w:val="center"/>
                    <w:rPr>
                      <w:szCs w:val="21"/>
                    </w:rPr>
                  </w:pPr>
                  <w:r>
                    <w:rPr>
                      <w:rFonts w:hint="eastAsia"/>
                      <w:szCs w:val="21"/>
                    </w:rPr>
                    <w:t>75</w:t>
                  </w:r>
                </w:p>
              </w:tc>
              <w:tc>
                <w:tcPr>
                  <w:tcW w:w="804" w:type="pct"/>
                  <w:tcBorders>
                    <w:tl2br w:val="nil"/>
                    <w:tr2bl w:val="nil"/>
                  </w:tcBorders>
                  <w:vAlign w:val="center"/>
                </w:tcPr>
                <w:p>
                  <w:pPr>
                    <w:jc w:val="center"/>
                    <w:rPr>
                      <w:szCs w:val="21"/>
                    </w:rPr>
                  </w:pPr>
                  <w:r>
                    <w:rPr>
                      <w:rFonts w:hint="eastAsia"/>
                      <w:szCs w:val="21"/>
                    </w:rPr>
                    <w:t>58.7</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restart"/>
                  <w:tcBorders>
                    <w:tl2br w:val="nil"/>
                    <w:tr2bl w:val="nil"/>
                  </w:tcBorders>
                  <w:vAlign w:val="center"/>
                </w:tcPr>
                <w:p>
                  <w:pPr>
                    <w:jc w:val="center"/>
                    <w:rPr>
                      <w:szCs w:val="21"/>
                    </w:rPr>
                  </w:pPr>
                  <w:r>
                    <w:rPr>
                      <w:rFonts w:hint="eastAsia"/>
                      <w:szCs w:val="21"/>
                    </w:rPr>
                    <w:t>CO</w:t>
                  </w:r>
                </w:p>
              </w:tc>
              <w:tc>
                <w:tcPr>
                  <w:tcW w:w="1797" w:type="pct"/>
                  <w:tcBorders>
                    <w:tl2br w:val="nil"/>
                    <w:tr2bl w:val="nil"/>
                  </w:tcBorders>
                  <w:vAlign w:val="center"/>
                </w:tcPr>
                <w:p>
                  <w:pPr>
                    <w:jc w:val="center"/>
                    <w:rPr>
                      <w:szCs w:val="21"/>
                    </w:rPr>
                  </w:pPr>
                  <w:r>
                    <w:rPr>
                      <w:rFonts w:hint="eastAsia"/>
                      <w:szCs w:val="21"/>
                    </w:rPr>
                    <w:t>24小时平均</w:t>
                  </w:r>
                </w:p>
              </w:tc>
              <w:tc>
                <w:tcPr>
                  <w:tcW w:w="600" w:type="pct"/>
                  <w:tcBorders>
                    <w:tl2br w:val="nil"/>
                    <w:tr2bl w:val="nil"/>
                  </w:tcBorders>
                  <w:vAlign w:val="center"/>
                </w:tcPr>
                <w:p>
                  <w:pPr>
                    <w:jc w:val="center"/>
                    <w:rPr>
                      <w:szCs w:val="21"/>
                    </w:rPr>
                  </w:pPr>
                  <w:r>
                    <w:rPr>
                      <w:rFonts w:hint="eastAsia"/>
                      <w:szCs w:val="21"/>
                    </w:rPr>
                    <w:t>3.8</w:t>
                  </w:r>
                </w:p>
              </w:tc>
              <w:tc>
                <w:tcPr>
                  <w:tcW w:w="719" w:type="pct"/>
                  <w:tcBorders>
                    <w:tl2br w:val="nil"/>
                    <w:tr2bl w:val="nil"/>
                  </w:tcBorders>
                  <w:vAlign w:val="center"/>
                </w:tcPr>
                <w:p>
                  <w:pPr>
                    <w:jc w:val="center"/>
                    <w:rPr>
                      <w:szCs w:val="21"/>
                    </w:rPr>
                  </w:pPr>
                  <w:r>
                    <w:rPr>
                      <w:rFonts w:hint="eastAsia"/>
                      <w:szCs w:val="21"/>
                    </w:rPr>
                    <w:t>4</w:t>
                  </w:r>
                </w:p>
              </w:tc>
              <w:tc>
                <w:tcPr>
                  <w:tcW w:w="804" w:type="pct"/>
                  <w:tcBorders>
                    <w:tl2br w:val="nil"/>
                    <w:tr2bl w:val="nil"/>
                  </w:tcBorders>
                  <w:vAlign w:val="center"/>
                </w:tcPr>
                <w:p>
                  <w:pPr>
                    <w:jc w:val="center"/>
                    <w:rPr>
                      <w:szCs w:val="21"/>
                    </w:rPr>
                  </w:pPr>
                  <w:r>
                    <w:rPr>
                      <w:rFonts w:hint="eastAsia"/>
                      <w:szCs w:val="21"/>
                    </w:rPr>
                    <w:t>95.0</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continue"/>
                  <w:tcBorders>
                    <w:tl2br w:val="nil"/>
                    <w:tr2bl w:val="nil"/>
                  </w:tcBorders>
                  <w:vAlign w:val="center"/>
                </w:tcPr>
                <w:p>
                  <w:pPr>
                    <w:jc w:val="center"/>
                    <w:rPr>
                      <w:szCs w:val="21"/>
                    </w:rPr>
                  </w:pPr>
                </w:p>
              </w:tc>
              <w:tc>
                <w:tcPr>
                  <w:tcW w:w="1797" w:type="pct"/>
                  <w:tcBorders>
                    <w:tl2br w:val="nil"/>
                    <w:tr2bl w:val="nil"/>
                  </w:tcBorders>
                  <w:vAlign w:val="center"/>
                </w:tcPr>
                <w:p>
                  <w:pPr>
                    <w:jc w:val="center"/>
                    <w:rPr>
                      <w:szCs w:val="21"/>
                    </w:rPr>
                  </w:pPr>
                  <w:r>
                    <w:rPr>
                      <w:rFonts w:hint="eastAsia"/>
                      <w:szCs w:val="21"/>
                    </w:rPr>
                    <w:t>第95百分位数日平均质量浓度</w:t>
                  </w:r>
                </w:p>
              </w:tc>
              <w:tc>
                <w:tcPr>
                  <w:tcW w:w="600" w:type="pct"/>
                  <w:tcBorders>
                    <w:tl2br w:val="nil"/>
                    <w:tr2bl w:val="nil"/>
                  </w:tcBorders>
                  <w:vAlign w:val="center"/>
                </w:tcPr>
                <w:p>
                  <w:pPr>
                    <w:jc w:val="center"/>
                    <w:rPr>
                      <w:szCs w:val="21"/>
                    </w:rPr>
                  </w:pPr>
                  <w:r>
                    <w:rPr>
                      <w:rFonts w:hint="eastAsia"/>
                      <w:szCs w:val="21"/>
                    </w:rPr>
                    <w:t>3.8</w:t>
                  </w:r>
                </w:p>
              </w:tc>
              <w:tc>
                <w:tcPr>
                  <w:tcW w:w="719" w:type="pct"/>
                  <w:tcBorders>
                    <w:tl2br w:val="nil"/>
                    <w:tr2bl w:val="nil"/>
                  </w:tcBorders>
                  <w:vAlign w:val="center"/>
                </w:tcPr>
                <w:p>
                  <w:pPr>
                    <w:jc w:val="center"/>
                    <w:rPr>
                      <w:szCs w:val="21"/>
                    </w:rPr>
                  </w:pPr>
                  <w:r>
                    <w:rPr>
                      <w:rFonts w:hint="eastAsia"/>
                      <w:szCs w:val="21"/>
                    </w:rPr>
                    <w:t>4</w:t>
                  </w:r>
                </w:p>
              </w:tc>
              <w:tc>
                <w:tcPr>
                  <w:tcW w:w="804" w:type="pct"/>
                  <w:tcBorders>
                    <w:tl2br w:val="nil"/>
                    <w:tr2bl w:val="nil"/>
                  </w:tcBorders>
                  <w:vAlign w:val="center"/>
                </w:tcPr>
                <w:p>
                  <w:pPr>
                    <w:jc w:val="center"/>
                    <w:rPr>
                      <w:szCs w:val="21"/>
                    </w:rPr>
                  </w:pPr>
                  <w:r>
                    <w:rPr>
                      <w:rFonts w:hint="eastAsia"/>
                      <w:szCs w:val="21"/>
                    </w:rPr>
                    <w:t>95.0</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restart"/>
                  <w:tcBorders>
                    <w:tl2br w:val="nil"/>
                    <w:tr2bl w:val="nil"/>
                  </w:tcBorders>
                  <w:vAlign w:val="center"/>
                </w:tcPr>
                <w:p>
                  <w:pPr>
                    <w:jc w:val="center"/>
                    <w:rPr>
                      <w:szCs w:val="21"/>
                    </w:rPr>
                  </w:pPr>
                  <w:r>
                    <w:rPr>
                      <w:rFonts w:hint="eastAsia"/>
                      <w:szCs w:val="21"/>
                    </w:rPr>
                    <w:t>O</w:t>
                  </w:r>
                  <w:r>
                    <w:rPr>
                      <w:rFonts w:hint="eastAsia"/>
                      <w:szCs w:val="21"/>
                      <w:vertAlign w:val="subscript"/>
                    </w:rPr>
                    <w:t>3</w:t>
                  </w:r>
                </w:p>
              </w:tc>
              <w:tc>
                <w:tcPr>
                  <w:tcW w:w="1797" w:type="pct"/>
                  <w:tcBorders>
                    <w:tl2br w:val="nil"/>
                    <w:tr2bl w:val="nil"/>
                  </w:tcBorders>
                  <w:vAlign w:val="center"/>
                </w:tcPr>
                <w:p>
                  <w:pPr>
                    <w:jc w:val="center"/>
                    <w:rPr>
                      <w:szCs w:val="21"/>
                    </w:rPr>
                  </w:pPr>
                  <w:r>
                    <w:rPr>
                      <w:rFonts w:hint="eastAsia"/>
                      <w:spacing w:val="-11"/>
                      <w:szCs w:val="21"/>
                    </w:rPr>
                    <w:t>日最大8小时平均</w:t>
                  </w:r>
                </w:p>
              </w:tc>
              <w:tc>
                <w:tcPr>
                  <w:tcW w:w="600" w:type="pct"/>
                  <w:tcBorders>
                    <w:tl2br w:val="nil"/>
                    <w:tr2bl w:val="nil"/>
                  </w:tcBorders>
                  <w:vAlign w:val="center"/>
                </w:tcPr>
                <w:p>
                  <w:pPr>
                    <w:jc w:val="center"/>
                    <w:rPr>
                      <w:szCs w:val="21"/>
                    </w:rPr>
                  </w:pPr>
                  <w:r>
                    <w:rPr>
                      <w:rFonts w:hint="eastAsia"/>
                      <w:szCs w:val="21"/>
                    </w:rPr>
                    <w:t>98</w:t>
                  </w:r>
                </w:p>
              </w:tc>
              <w:tc>
                <w:tcPr>
                  <w:tcW w:w="719" w:type="pct"/>
                  <w:tcBorders>
                    <w:tl2br w:val="nil"/>
                    <w:tr2bl w:val="nil"/>
                  </w:tcBorders>
                  <w:vAlign w:val="center"/>
                </w:tcPr>
                <w:p>
                  <w:pPr>
                    <w:jc w:val="center"/>
                    <w:rPr>
                      <w:szCs w:val="21"/>
                    </w:rPr>
                  </w:pPr>
                  <w:r>
                    <w:rPr>
                      <w:rFonts w:hint="eastAsia"/>
                      <w:szCs w:val="21"/>
                    </w:rPr>
                    <w:t>160</w:t>
                  </w:r>
                </w:p>
              </w:tc>
              <w:tc>
                <w:tcPr>
                  <w:tcW w:w="804" w:type="pct"/>
                  <w:tcBorders>
                    <w:tl2br w:val="nil"/>
                    <w:tr2bl w:val="nil"/>
                  </w:tcBorders>
                  <w:vAlign w:val="center"/>
                </w:tcPr>
                <w:p>
                  <w:pPr>
                    <w:jc w:val="center"/>
                    <w:rPr>
                      <w:szCs w:val="21"/>
                    </w:rPr>
                  </w:pPr>
                  <w:r>
                    <w:rPr>
                      <w:rFonts w:hint="eastAsia"/>
                      <w:szCs w:val="21"/>
                    </w:rPr>
                    <w:t>61.3</w:t>
                  </w:r>
                </w:p>
              </w:tc>
              <w:tc>
                <w:tcPr>
                  <w:tcW w:w="600"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 w:type="pct"/>
                  <w:vMerge w:val="continue"/>
                  <w:tcBorders>
                    <w:tl2br w:val="nil"/>
                    <w:tr2bl w:val="nil"/>
                  </w:tcBorders>
                  <w:vAlign w:val="center"/>
                </w:tcPr>
                <w:p>
                  <w:pPr>
                    <w:jc w:val="center"/>
                    <w:rPr>
                      <w:szCs w:val="21"/>
                    </w:rPr>
                  </w:pPr>
                </w:p>
              </w:tc>
              <w:tc>
                <w:tcPr>
                  <w:tcW w:w="1797" w:type="pct"/>
                  <w:tcBorders>
                    <w:tl2br w:val="nil"/>
                    <w:tr2bl w:val="nil"/>
                  </w:tcBorders>
                  <w:vAlign w:val="center"/>
                </w:tcPr>
                <w:p>
                  <w:pPr>
                    <w:jc w:val="center"/>
                    <w:rPr>
                      <w:spacing w:val="-11"/>
                      <w:szCs w:val="21"/>
                    </w:rPr>
                  </w:pPr>
                  <w:r>
                    <w:rPr>
                      <w:rFonts w:hint="eastAsia"/>
                      <w:szCs w:val="21"/>
                    </w:rPr>
                    <w:t>第90百分位数8h平均质量浓度</w:t>
                  </w:r>
                </w:p>
              </w:tc>
              <w:tc>
                <w:tcPr>
                  <w:tcW w:w="600" w:type="pct"/>
                  <w:tcBorders>
                    <w:tl2br w:val="nil"/>
                    <w:tr2bl w:val="nil"/>
                  </w:tcBorders>
                  <w:vAlign w:val="center"/>
                </w:tcPr>
                <w:p>
                  <w:pPr>
                    <w:jc w:val="center"/>
                    <w:rPr>
                      <w:szCs w:val="21"/>
                    </w:rPr>
                  </w:pPr>
                  <w:r>
                    <w:rPr>
                      <w:rFonts w:hint="eastAsia"/>
                      <w:szCs w:val="21"/>
                    </w:rPr>
                    <w:t>97</w:t>
                  </w:r>
                </w:p>
              </w:tc>
              <w:tc>
                <w:tcPr>
                  <w:tcW w:w="719" w:type="pct"/>
                  <w:tcBorders>
                    <w:tl2br w:val="nil"/>
                    <w:tr2bl w:val="nil"/>
                  </w:tcBorders>
                  <w:vAlign w:val="center"/>
                </w:tcPr>
                <w:p>
                  <w:pPr>
                    <w:jc w:val="center"/>
                    <w:rPr>
                      <w:szCs w:val="21"/>
                    </w:rPr>
                  </w:pPr>
                  <w:r>
                    <w:rPr>
                      <w:rFonts w:hint="eastAsia"/>
                      <w:szCs w:val="21"/>
                    </w:rPr>
                    <w:t>16</w:t>
                  </w:r>
                </w:p>
              </w:tc>
              <w:tc>
                <w:tcPr>
                  <w:tcW w:w="804" w:type="pct"/>
                  <w:tcBorders>
                    <w:tl2br w:val="nil"/>
                    <w:tr2bl w:val="nil"/>
                  </w:tcBorders>
                  <w:vAlign w:val="center"/>
                </w:tcPr>
                <w:p>
                  <w:pPr>
                    <w:jc w:val="center"/>
                    <w:rPr>
                      <w:szCs w:val="21"/>
                    </w:rPr>
                  </w:pPr>
                  <w:r>
                    <w:rPr>
                      <w:rFonts w:hint="eastAsia"/>
                      <w:szCs w:val="21"/>
                    </w:rPr>
                    <w:t>60.6</w:t>
                  </w:r>
                </w:p>
              </w:tc>
              <w:tc>
                <w:tcPr>
                  <w:tcW w:w="600" w:type="pct"/>
                  <w:tcBorders>
                    <w:tl2br w:val="nil"/>
                    <w:tr2bl w:val="nil"/>
                  </w:tcBorders>
                  <w:vAlign w:val="center"/>
                </w:tcPr>
                <w:p>
                  <w:pPr>
                    <w:jc w:val="center"/>
                    <w:rPr>
                      <w:szCs w:val="21"/>
                    </w:rPr>
                  </w:pPr>
                  <w:r>
                    <w:rPr>
                      <w:rFonts w:hint="eastAsia"/>
                      <w:szCs w:val="21"/>
                    </w:rPr>
                    <w:t>达标</w:t>
                  </w:r>
                </w:p>
              </w:tc>
            </w:tr>
          </w:tbl>
          <w:p>
            <w:pPr>
              <w:rPr>
                <w:rFonts w:ascii="宋体" w:hAnsi="宋体" w:cs="宋体"/>
                <w:b/>
                <w:shd w:val="clear" w:color="auto" w:fill="FFFFFF"/>
              </w:rPr>
            </w:pPr>
            <w:r>
              <w:rPr>
                <w:rFonts w:hint="eastAsia" w:ascii="宋体" w:hAnsi="宋体" w:cs="宋体"/>
                <w:b/>
              </w:rPr>
              <w:t>注：SO</w:t>
            </w:r>
            <w:r>
              <w:rPr>
                <w:rFonts w:hint="eastAsia" w:ascii="宋体" w:hAnsi="宋体" w:cs="宋体"/>
                <w:b/>
                <w:vertAlign w:val="subscript"/>
              </w:rPr>
              <w:t>2</w:t>
            </w:r>
            <w:r>
              <w:rPr>
                <w:rFonts w:hint="eastAsia" w:ascii="宋体" w:hAnsi="宋体" w:cs="宋体"/>
                <w:b/>
              </w:rPr>
              <w:t>、NO</w:t>
            </w:r>
            <w:r>
              <w:rPr>
                <w:rFonts w:hint="eastAsia" w:ascii="宋体" w:hAnsi="宋体" w:cs="宋体"/>
                <w:b/>
                <w:vertAlign w:val="subscript"/>
              </w:rPr>
              <w:t>2</w:t>
            </w:r>
            <w:r>
              <w:rPr>
                <w:rFonts w:hint="eastAsia" w:ascii="宋体" w:hAnsi="宋体" w:cs="宋体"/>
                <w:b/>
              </w:rPr>
              <w:t>、PM</w:t>
            </w:r>
            <w:r>
              <w:rPr>
                <w:rFonts w:hint="eastAsia" w:ascii="宋体" w:hAnsi="宋体" w:cs="宋体"/>
                <w:b/>
                <w:vertAlign w:val="subscript"/>
              </w:rPr>
              <w:t>10</w:t>
            </w:r>
            <w:r>
              <w:rPr>
                <w:rFonts w:hint="eastAsia" w:ascii="宋体" w:hAnsi="宋体" w:cs="宋体"/>
                <w:b/>
              </w:rPr>
              <w:t>、PM</w:t>
            </w:r>
            <w:r>
              <w:rPr>
                <w:rFonts w:hint="eastAsia" w:ascii="宋体" w:hAnsi="宋体" w:cs="宋体"/>
                <w:b/>
                <w:vertAlign w:val="subscript"/>
              </w:rPr>
              <w:t>2.5</w:t>
            </w:r>
            <w:r>
              <w:rPr>
                <w:rFonts w:hint="eastAsia" w:ascii="宋体" w:hAnsi="宋体" w:cs="宋体"/>
                <w:b/>
              </w:rPr>
              <w:t>、O</w:t>
            </w:r>
            <w:r>
              <w:rPr>
                <w:rFonts w:hint="eastAsia" w:ascii="宋体" w:hAnsi="宋体" w:cs="宋体"/>
                <w:b/>
                <w:vertAlign w:val="subscript"/>
              </w:rPr>
              <w:t>3</w:t>
            </w:r>
            <w:r>
              <w:rPr>
                <w:rFonts w:hint="eastAsia" w:ascii="宋体" w:hAnsi="宋体" w:cs="宋体"/>
                <w:b/>
              </w:rPr>
              <w:t>单位为</w:t>
            </w:r>
            <w:r>
              <w:rPr>
                <w:rFonts w:hint="eastAsia" w:ascii="宋体" w:hAnsi="宋体" w:cs="宋体"/>
                <w:b/>
                <w:shd w:val="clear" w:color="auto" w:fill="FFFFFF"/>
              </w:rPr>
              <w:t>μg/m</w:t>
            </w:r>
            <w:r>
              <w:rPr>
                <w:rFonts w:hint="eastAsia" w:ascii="宋体" w:hAnsi="宋体" w:cs="宋体"/>
                <w:b/>
                <w:shd w:val="clear" w:color="auto" w:fill="FFFFFF"/>
                <w:vertAlign w:val="superscript"/>
              </w:rPr>
              <w:t>3</w:t>
            </w:r>
            <w:r>
              <w:rPr>
                <w:rFonts w:hint="eastAsia" w:ascii="宋体" w:hAnsi="宋体" w:cs="宋体"/>
                <w:b/>
                <w:shd w:val="clear" w:color="auto" w:fill="FFFFFF"/>
              </w:rPr>
              <w:t>；</w:t>
            </w:r>
            <w:r>
              <w:rPr>
                <w:rFonts w:hint="eastAsia" w:ascii="宋体" w:hAnsi="宋体" w:cs="宋体"/>
                <w:b/>
              </w:rPr>
              <w:t>CO单位：</w:t>
            </w:r>
            <w:r>
              <w:rPr>
                <w:rFonts w:hint="eastAsia" w:ascii="宋体" w:hAnsi="宋体" w:cs="宋体"/>
                <w:b/>
                <w:shd w:val="clear" w:color="auto" w:fill="FFFFFF"/>
              </w:rPr>
              <w:t>mg/m</w:t>
            </w:r>
            <w:r>
              <w:rPr>
                <w:rFonts w:hint="eastAsia" w:ascii="宋体" w:hAnsi="宋体" w:cs="宋体"/>
                <w:b/>
                <w:shd w:val="clear" w:color="auto" w:fill="FFFFFF"/>
                <w:vertAlign w:val="superscript"/>
              </w:rPr>
              <w:t>3</w:t>
            </w:r>
            <w:r>
              <w:rPr>
                <w:rFonts w:hint="eastAsia" w:ascii="宋体" w:hAnsi="宋体" w:cs="宋体"/>
                <w:b/>
                <w:shd w:val="clear" w:color="auto" w:fill="FFFFFF"/>
              </w:rPr>
              <w:t>。</w:t>
            </w:r>
          </w:p>
          <w:p>
            <w:pPr>
              <w:spacing w:line="360" w:lineRule="auto"/>
              <w:ind w:firstLine="560" w:firstLineChars="200"/>
              <w:rPr>
                <w:sz w:val="28"/>
                <w:szCs w:val="28"/>
              </w:rPr>
            </w:pPr>
            <w:r>
              <w:rPr>
                <w:rFonts w:hint="eastAsia"/>
                <w:sz w:val="28"/>
                <w:szCs w:val="28"/>
              </w:rPr>
              <w:t>由上表可知，本项目所在区域为达标区。</w:t>
            </w:r>
          </w:p>
          <w:p>
            <w:pPr>
              <w:pStyle w:val="20"/>
              <w:spacing w:line="360" w:lineRule="auto"/>
              <w:ind w:left="0" w:leftChars="0" w:firstLine="560" w:firstLineChars="200"/>
              <w:rPr>
                <w:sz w:val="28"/>
                <w:szCs w:val="28"/>
              </w:rPr>
            </w:pPr>
            <w:r>
              <w:rPr>
                <w:rFonts w:hint="eastAsia"/>
                <w:sz w:val="28"/>
                <w:szCs w:val="28"/>
              </w:rPr>
              <w:t>（2）补充监测</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本项目大气污染源的特点和考虑环境质量的代表性，根据哈尔滨捷通环境监测有限责任公司出具的检测报告（详见附件）可知，本评价确定1个环境空气质量现状监测点，具体监测点位见下表。</w:t>
            </w:r>
          </w:p>
          <w:p>
            <w:pPr>
              <w:spacing w:line="360" w:lineRule="auto"/>
              <w:jc w:val="center"/>
              <w:rPr>
                <w:b/>
                <w:sz w:val="24"/>
                <w:szCs w:val="24"/>
              </w:rPr>
            </w:pPr>
            <w:r>
              <w:rPr>
                <w:rFonts w:hint="eastAsia"/>
                <w:b/>
                <w:sz w:val="24"/>
                <w:szCs w:val="24"/>
              </w:rPr>
              <w:t>表11    其他污染物补充监测点基本信息</w:t>
            </w:r>
          </w:p>
          <w:tbl>
            <w:tblPr>
              <w:tblStyle w:val="2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3"/>
              <w:gridCol w:w="1227"/>
              <w:gridCol w:w="1183"/>
              <w:gridCol w:w="1176"/>
              <w:gridCol w:w="2309"/>
              <w:gridCol w:w="1179"/>
              <w:gridCol w:w="11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97" w:type="pct"/>
                  <w:vMerge w:val="restart"/>
                  <w:tcBorders>
                    <w:top w:val="single" w:color="000000" w:sz="12" w:space="0"/>
                    <w:left w:val="nil"/>
                  </w:tcBorders>
                  <w:vAlign w:val="center"/>
                </w:tcPr>
                <w:p>
                  <w:pPr>
                    <w:jc w:val="center"/>
                    <w:rPr>
                      <w:szCs w:val="21"/>
                    </w:rPr>
                  </w:pPr>
                  <w:r>
                    <w:rPr>
                      <w:szCs w:val="21"/>
                    </w:rPr>
                    <w:t>监测点名称</w:t>
                  </w:r>
                </w:p>
              </w:tc>
              <w:tc>
                <w:tcPr>
                  <w:tcW w:w="1231" w:type="pct"/>
                  <w:gridSpan w:val="2"/>
                  <w:tcBorders>
                    <w:top w:val="single" w:color="000000" w:sz="12" w:space="0"/>
                    <w:bottom w:val="single" w:color="auto" w:sz="4" w:space="0"/>
                  </w:tcBorders>
                  <w:vAlign w:val="center"/>
                </w:tcPr>
                <w:p>
                  <w:pPr>
                    <w:jc w:val="center"/>
                    <w:rPr>
                      <w:kern w:val="0"/>
                      <w:szCs w:val="21"/>
                    </w:rPr>
                  </w:pPr>
                  <w:r>
                    <w:rPr>
                      <w:kern w:val="0"/>
                      <w:szCs w:val="21"/>
                    </w:rPr>
                    <w:t>监测点坐标/°</w:t>
                  </w:r>
                </w:p>
              </w:tc>
              <w:tc>
                <w:tcPr>
                  <w:tcW w:w="669" w:type="pct"/>
                  <w:vMerge w:val="restart"/>
                  <w:tcBorders>
                    <w:top w:val="single" w:color="000000" w:sz="12" w:space="0"/>
                  </w:tcBorders>
                  <w:vAlign w:val="center"/>
                </w:tcPr>
                <w:p>
                  <w:pPr>
                    <w:jc w:val="center"/>
                    <w:rPr>
                      <w:kern w:val="0"/>
                      <w:szCs w:val="21"/>
                    </w:rPr>
                  </w:pPr>
                  <w:r>
                    <w:rPr>
                      <w:kern w:val="0"/>
                      <w:szCs w:val="21"/>
                    </w:rPr>
                    <w:t>监测因子</w:t>
                  </w:r>
                </w:p>
              </w:tc>
              <w:tc>
                <w:tcPr>
                  <w:tcW w:w="1265" w:type="pct"/>
                  <w:vMerge w:val="restart"/>
                  <w:tcBorders>
                    <w:top w:val="single" w:color="000000" w:sz="12" w:space="0"/>
                  </w:tcBorders>
                  <w:vAlign w:val="center"/>
                </w:tcPr>
                <w:p>
                  <w:pPr>
                    <w:jc w:val="center"/>
                    <w:rPr>
                      <w:szCs w:val="21"/>
                    </w:rPr>
                  </w:pPr>
                  <w:r>
                    <w:rPr>
                      <w:szCs w:val="21"/>
                    </w:rPr>
                    <w:t>监测时段</w:t>
                  </w:r>
                </w:p>
              </w:tc>
              <w:tc>
                <w:tcPr>
                  <w:tcW w:w="670" w:type="pct"/>
                  <w:vMerge w:val="restart"/>
                  <w:tcBorders>
                    <w:top w:val="single" w:color="000000" w:sz="12" w:space="0"/>
                  </w:tcBorders>
                  <w:vAlign w:val="center"/>
                </w:tcPr>
                <w:p>
                  <w:pPr>
                    <w:jc w:val="center"/>
                    <w:rPr>
                      <w:szCs w:val="21"/>
                    </w:rPr>
                  </w:pPr>
                  <w:r>
                    <w:rPr>
                      <w:szCs w:val="21"/>
                    </w:rPr>
                    <w:t>相对厂址方位</w:t>
                  </w:r>
                </w:p>
              </w:tc>
              <w:tc>
                <w:tcPr>
                  <w:tcW w:w="668" w:type="pct"/>
                  <w:vMerge w:val="restart"/>
                  <w:tcBorders>
                    <w:top w:val="single" w:color="000000" w:sz="12" w:space="0"/>
                    <w:right w:val="nil"/>
                  </w:tcBorders>
                  <w:vAlign w:val="center"/>
                </w:tcPr>
                <w:p>
                  <w:pPr>
                    <w:jc w:val="center"/>
                    <w:rPr>
                      <w:szCs w:val="21"/>
                    </w:rPr>
                  </w:pPr>
                  <w:r>
                    <w:rPr>
                      <w:szCs w:val="21"/>
                    </w:rPr>
                    <w:t>相对厂界距离/m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97" w:type="pct"/>
                  <w:vMerge w:val="continue"/>
                  <w:tcBorders>
                    <w:left w:val="nil"/>
                  </w:tcBorders>
                  <w:vAlign w:val="center"/>
                </w:tcPr>
                <w:p>
                  <w:pPr>
                    <w:jc w:val="center"/>
                    <w:rPr>
                      <w:szCs w:val="21"/>
                    </w:rPr>
                  </w:pPr>
                </w:p>
              </w:tc>
              <w:tc>
                <w:tcPr>
                  <w:tcW w:w="558" w:type="pct"/>
                  <w:tcBorders>
                    <w:top w:val="single" w:color="auto" w:sz="4" w:space="0"/>
                    <w:right w:val="single" w:color="auto" w:sz="4" w:space="0"/>
                  </w:tcBorders>
                  <w:vAlign w:val="center"/>
                </w:tcPr>
                <w:p>
                  <w:pPr>
                    <w:jc w:val="center"/>
                    <w:rPr>
                      <w:kern w:val="0"/>
                      <w:szCs w:val="21"/>
                    </w:rPr>
                  </w:pPr>
                  <w:r>
                    <w:rPr>
                      <w:rFonts w:hint="eastAsia"/>
                      <w:kern w:val="0"/>
                      <w:szCs w:val="21"/>
                    </w:rPr>
                    <w:t>北纬</w:t>
                  </w:r>
                </w:p>
              </w:tc>
              <w:tc>
                <w:tcPr>
                  <w:tcW w:w="673" w:type="pct"/>
                  <w:tcBorders>
                    <w:top w:val="single" w:color="auto" w:sz="4" w:space="0"/>
                    <w:left w:val="single" w:color="auto" w:sz="4" w:space="0"/>
                  </w:tcBorders>
                  <w:vAlign w:val="center"/>
                </w:tcPr>
                <w:p>
                  <w:pPr>
                    <w:jc w:val="center"/>
                    <w:rPr>
                      <w:kern w:val="0"/>
                      <w:szCs w:val="21"/>
                    </w:rPr>
                  </w:pPr>
                  <w:r>
                    <w:rPr>
                      <w:rFonts w:hint="eastAsia"/>
                      <w:kern w:val="0"/>
                      <w:szCs w:val="21"/>
                    </w:rPr>
                    <w:t>东经</w:t>
                  </w:r>
                </w:p>
              </w:tc>
              <w:tc>
                <w:tcPr>
                  <w:tcW w:w="669" w:type="pct"/>
                  <w:vMerge w:val="continue"/>
                  <w:vAlign w:val="center"/>
                </w:tcPr>
                <w:p>
                  <w:pPr>
                    <w:jc w:val="center"/>
                    <w:rPr>
                      <w:szCs w:val="21"/>
                    </w:rPr>
                  </w:pPr>
                </w:p>
              </w:tc>
              <w:tc>
                <w:tcPr>
                  <w:tcW w:w="1265" w:type="pct"/>
                  <w:vMerge w:val="continue"/>
                  <w:vAlign w:val="center"/>
                </w:tcPr>
                <w:p>
                  <w:pPr>
                    <w:jc w:val="center"/>
                    <w:rPr>
                      <w:szCs w:val="21"/>
                    </w:rPr>
                  </w:pPr>
                </w:p>
              </w:tc>
              <w:tc>
                <w:tcPr>
                  <w:tcW w:w="670" w:type="pct"/>
                  <w:vMerge w:val="continue"/>
                  <w:vAlign w:val="center"/>
                </w:tcPr>
                <w:p>
                  <w:pPr>
                    <w:jc w:val="center"/>
                    <w:rPr>
                      <w:szCs w:val="21"/>
                    </w:rPr>
                  </w:pPr>
                </w:p>
              </w:tc>
              <w:tc>
                <w:tcPr>
                  <w:tcW w:w="668" w:type="pct"/>
                  <w:vMerge w:val="continue"/>
                  <w:tcBorders>
                    <w:right w:val="nil"/>
                  </w:tcBorders>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497" w:type="pct"/>
                  <w:tcBorders>
                    <w:left w:val="nil"/>
                  </w:tcBorders>
                  <w:vAlign w:val="center"/>
                </w:tcPr>
                <w:p>
                  <w:pPr>
                    <w:jc w:val="center"/>
                    <w:rPr>
                      <w:kern w:val="0"/>
                      <w:szCs w:val="21"/>
                    </w:rPr>
                  </w:pPr>
                  <w:r>
                    <w:rPr>
                      <w:rFonts w:hint="eastAsia"/>
                      <w:kern w:val="0"/>
                      <w:szCs w:val="21"/>
                    </w:rPr>
                    <w:t>厂址1#</w:t>
                  </w:r>
                </w:p>
              </w:tc>
              <w:tc>
                <w:tcPr>
                  <w:tcW w:w="558" w:type="pct"/>
                  <w:tcBorders>
                    <w:right w:val="single" w:color="auto" w:sz="4" w:space="0"/>
                  </w:tcBorders>
                  <w:vAlign w:val="center"/>
                </w:tcPr>
                <w:p>
                  <w:pPr>
                    <w:jc w:val="center"/>
                    <w:rPr>
                      <w:kern w:val="0"/>
                      <w:szCs w:val="21"/>
                    </w:rPr>
                  </w:pPr>
                  <w:r>
                    <w:rPr>
                      <w:kern w:val="0"/>
                      <w:szCs w:val="21"/>
                    </w:rPr>
                    <w:t>132.628445</w:t>
                  </w:r>
                </w:p>
              </w:tc>
              <w:tc>
                <w:tcPr>
                  <w:tcW w:w="673" w:type="pct"/>
                  <w:tcBorders>
                    <w:left w:val="single" w:color="auto" w:sz="4" w:space="0"/>
                  </w:tcBorders>
                  <w:vAlign w:val="center"/>
                </w:tcPr>
                <w:p>
                  <w:pPr>
                    <w:jc w:val="center"/>
                    <w:rPr>
                      <w:kern w:val="0"/>
                      <w:szCs w:val="21"/>
                    </w:rPr>
                  </w:pPr>
                  <w:r>
                    <w:rPr>
                      <w:kern w:val="0"/>
                      <w:szCs w:val="21"/>
                    </w:rPr>
                    <w:t>47.739018</w:t>
                  </w:r>
                </w:p>
              </w:tc>
              <w:tc>
                <w:tcPr>
                  <w:tcW w:w="669" w:type="pct"/>
                  <w:vAlign w:val="center"/>
                </w:tcPr>
                <w:p>
                  <w:pPr>
                    <w:jc w:val="center"/>
                    <w:rPr>
                      <w:szCs w:val="21"/>
                    </w:rPr>
                  </w:pPr>
                  <w:r>
                    <w:rPr>
                      <w:rFonts w:hint="eastAsia"/>
                      <w:kern w:val="0"/>
                      <w:szCs w:val="21"/>
                    </w:rPr>
                    <w:t>非甲烷总烃</w:t>
                  </w:r>
                </w:p>
              </w:tc>
              <w:tc>
                <w:tcPr>
                  <w:tcW w:w="1265" w:type="pct"/>
                  <w:vAlign w:val="center"/>
                </w:tcPr>
                <w:p>
                  <w:pPr>
                    <w:jc w:val="center"/>
                    <w:rPr>
                      <w:szCs w:val="21"/>
                    </w:rPr>
                  </w:pPr>
                  <w:r>
                    <w:rPr>
                      <w:szCs w:val="21"/>
                    </w:rPr>
                    <w:t>201</w:t>
                  </w:r>
                  <w:r>
                    <w:rPr>
                      <w:rFonts w:hint="eastAsia"/>
                      <w:szCs w:val="21"/>
                    </w:rPr>
                    <w:t>9/05/13</w:t>
                  </w:r>
                  <w:r>
                    <w:rPr>
                      <w:szCs w:val="21"/>
                    </w:rPr>
                    <w:t>-201</w:t>
                  </w:r>
                  <w:r>
                    <w:rPr>
                      <w:rFonts w:hint="eastAsia"/>
                      <w:szCs w:val="21"/>
                    </w:rPr>
                    <w:t>9/05/19</w:t>
                  </w:r>
                </w:p>
              </w:tc>
              <w:tc>
                <w:tcPr>
                  <w:tcW w:w="670" w:type="pct"/>
                  <w:vAlign w:val="center"/>
                </w:tcPr>
                <w:p>
                  <w:pPr>
                    <w:jc w:val="center"/>
                    <w:rPr>
                      <w:szCs w:val="21"/>
                    </w:rPr>
                  </w:pPr>
                  <w:r>
                    <w:rPr>
                      <w:rFonts w:hint="eastAsia"/>
                      <w:szCs w:val="21"/>
                    </w:rPr>
                    <w:t>--</w:t>
                  </w:r>
                </w:p>
              </w:tc>
              <w:tc>
                <w:tcPr>
                  <w:tcW w:w="668" w:type="pct"/>
                  <w:tcBorders>
                    <w:right w:val="nil"/>
                  </w:tcBorders>
                  <w:vAlign w:val="center"/>
                </w:tcPr>
                <w:p>
                  <w:pPr>
                    <w:jc w:val="center"/>
                    <w:rPr>
                      <w:szCs w:val="21"/>
                    </w:rPr>
                  </w:pPr>
                  <w:r>
                    <w:rPr>
                      <w:rFonts w:hint="eastAsia"/>
                      <w:szCs w:val="21"/>
                    </w:rPr>
                    <w:t>--</w:t>
                  </w:r>
                </w:p>
              </w:tc>
            </w:tr>
          </w:tbl>
          <w:p>
            <w:pPr>
              <w:jc w:val="center"/>
              <w:rPr>
                <w:rFonts w:asciiTheme="minorEastAsia" w:hAnsiTheme="minorEastAsia"/>
                <w:sz w:val="24"/>
              </w:rPr>
            </w:pPr>
            <w:r>
              <w:drawing>
                <wp:inline distT="0" distB="0" distL="0" distR="0">
                  <wp:extent cx="5265420" cy="41040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268871" cy="4107017"/>
                          </a:xfrm>
                          <a:prstGeom prst="rect">
                            <a:avLst/>
                          </a:prstGeom>
                        </pic:spPr>
                      </pic:pic>
                    </a:graphicData>
                  </a:graphic>
                </wp:inline>
              </w:drawing>
            </w:r>
          </w:p>
          <w:p>
            <w:pPr>
              <w:spacing w:line="360" w:lineRule="auto"/>
              <w:jc w:val="center"/>
              <w:rPr>
                <w:b/>
                <w:sz w:val="24"/>
                <w:szCs w:val="24"/>
              </w:rPr>
            </w:pPr>
            <w:r>
              <w:rPr>
                <w:rFonts w:hint="eastAsia"/>
                <w:b/>
                <w:sz w:val="24"/>
                <w:szCs w:val="24"/>
              </w:rPr>
              <w:t>图1     环境空气监测点布置</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环境空气质量现状监测结果统计数据及评价结果见下表。</w:t>
            </w:r>
          </w:p>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12</w:t>
            </w:r>
            <w:r>
              <w:rPr>
                <w:rFonts w:ascii="Times New Roman" w:hAnsi="Times New Roman"/>
                <w:b/>
                <w:sz w:val="24"/>
              </w:rPr>
              <w:t xml:space="preserve">   其他污染物环境质量现状（监测结果）表</w:t>
            </w:r>
          </w:p>
          <w:tbl>
            <w:tblPr>
              <w:tblStyle w:val="2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7"/>
              <w:gridCol w:w="1227"/>
              <w:gridCol w:w="1258"/>
              <w:gridCol w:w="689"/>
              <w:gridCol w:w="831"/>
              <w:gridCol w:w="1116"/>
              <w:gridCol w:w="1013"/>
              <w:gridCol w:w="743"/>
              <w:gridCol w:w="606"/>
              <w:gridCol w:w="7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atLeast"/>
                <w:jc w:val="center"/>
              </w:trPr>
              <w:tc>
                <w:tcPr>
                  <w:tcW w:w="502" w:type="pct"/>
                  <w:vMerge w:val="restart"/>
                  <w:tcBorders>
                    <w:top w:val="single" w:color="000000" w:sz="12" w:space="0"/>
                    <w:left w:val="nil"/>
                  </w:tcBorders>
                  <w:vAlign w:val="center"/>
                </w:tcPr>
                <w:p>
                  <w:pPr>
                    <w:jc w:val="center"/>
                    <w:rPr>
                      <w:kern w:val="0"/>
                      <w:szCs w:val="21"/>
                    </w:rPr>
                  </w:pPr>
                  <w:r>
                    <w:rPr>
                      <w:kern w:val="0"/>
                      <w:szCs w:val="21"/>
                    </w:rPr>
                    <w:t>监测点位</w:t>
                  </w:r>
                </w:p>
              </w:tc>
              <w:tc>
                <w:tcPr>
                  <w:tcW w:w="1286" w:type="pct"/>
                  <w:gridSpan w:val="2"/>
                  <w:tcBorders>
                    <w:top w:val="single" w:color="000000" w:sz="12" w:space="0"/>
                    <w:bottom w:val="single" w:color="auto" w:sz="4" w:space="0"/>
                  </w:tcBorders>
                  <w:vAlign w:val="center"/>
                </w:tcPr>
                <w:p>
                  <w:pPr>
                    <w:jc w:val="center"/>
                    <w:rPr>
                      <w:kern w:val="0"/>
                      <w:szCs w:val="21"/>
                    </w:rPr>
                  </w:pPr>
                  <w:r>
                    <w:rPr>
                      <w:kern w:val="0"/>
                      <w:szCs w:val="21"/>
                    </w:rPr>
                    <w:t>监测点坐标/°</w:t>
                  </w:r>
                </w:p>
              </w:tc>
              <w:tc>
                <w:tcPr>
                  <w:tcW w:w="388" w:type="pct"/>
                  <w:vMerge w:val="restart"/>
                  <w:tcBorders>
                    <w:top w:val="single" w:color="000000" w:sz="12" w:space="0"/>
                  </w:tcBorders>
                  <w:vAlign w:val="center"/>
                </w:tcPr>
                <w:p>
                  <w:pPr>
                    <w:jc w:val="center"/>
                    <w:rPr>
                      <w:kern w:val="0"/>
                      <w:szCs w:val="21"/>
                    </w:rPr>
                  </w:pPr>
                  <w:r>
                    <w:rPr>
                      <w:kern w:val="0"/>
                      <w:szCs w:val="21"/>
                    </w:rPr>
                    <w:t>污染物</w:t>
                  </w:r>
                </w:p>
              </w:tc>
              <w:tc>
                <w:tcPr>
                  <w:tcW w:w="466" w:type="pct"/>
                  <w:vMerge w:val="restart"/>
                  <w:tcBorders>
                    <w:top w:val="single" w:color="000000" w:sz="12" w:space="0"/>
                  </w:tcBorders>
                  <w:vAlign w:val="center"/>
                </w:tcPr>
                <w:p>
                  <w:pPr>
                    <w:jc w:val="center"/>
                    <w:rPr>
                      <w:kern w:val="0"/>
                      <w:szCs w:val="21"/>
                    </w:rPr>
                  </w:pPr>
                  <w:r>
                    <w:rPr>
                      <w:kern w:val="0"/>
                      <w:szCs w:val="21"/>
                    </w:rPr>
                    <w:t>平均</w:t>
                  </w:r>
                </w:p>
                <w:p>
                  <w:pPr>
                    <w:jc w:val="center"/>
                    <w:rPr>
                      <w:kern w:val="0"/>
                      <w:szCs w:val="21"/>
                    </w:rPr>
                  </w:pPr>
                  <w:r>
                    <w:rPr>
                      <w:kern w:val="0"/>
                      <w:szCs w:val="21"/>
                    </w:rPr>
                    <w:t>时间</w:t>
                  </w:r>
                </w:p>
              </w:tc>
              <w:tc>
                <w:tcPr>
                  <w:tcW w:w="622" w:type="pct"/>
                  <w:vMerge w:val="restart"/>
                  <w:tcBorders>
                    <w:top w:val="single" w:color="000000" w:sz="12" w:space="0"/>
                  </w:tcBorders>
                  <w:vAlign w:val="center"/>
                </w:tcPr>
                <w:p>
                  <w:pPr>
                    <w:jc w:val="center"/>
                    <w:rPr>
                      <w:kern w:val="0"/>
                      <w:szCs w:val="21"/>
                    </w:rPr>
                  </w:pPr>
                  <w:r>
                    <w:rPr>
                      <w:kern w:val="0"/>
                      <w:szCs w:val="21"/>
                    </w:rPr>
                    <w:t>评价标准/</w:t>
                  </w:r>
                  <w:r>
                    <w:rPr>
                      <w:rFonts w:hint="eastAsia"/>
                      <w:kern w:val="0"/>
                      <w:szCs w:val="21"/>
                    </w:rPr>
                    <w:t>(</w:t>
                  </w:r>
                  <w:r>
                    <w:rPr>
                      <w:kern w:val="0"/>
                      <w:szCs w:val="21"/>
                    </w:rPr>
                    <w:t>μg/m</w:t>
                  </w:r>
                  <w:r>
                    <w:rPr>
                      <w:kern w:val="0"/>
                      <w:szCs w:val="21"/>
                      <w:vertAlign w:val="superscript"/>
                    </w:rPr>
                    <w:t>3</w:t>
                  </w:r>
                  <w:r>
                    <w:rPr>
                      <w:rFonts w:hint="eastAsia"/>
                      <w:kern w:val="0"/>
                      <w:szCs w:val="21"/>
                    </w:rPr>
                    <w:t>)</w:t>
                  </w:r>
                </w:p>
              </w:tc>
              <w:tc>
                <w:tcPr>
                  <w:tcW w:w="566" w:type="pct"/>
                  <w:vMerge w:val="restart"/>
                  <w:tcBorders>
                    <w:top w:val="single" w:color="000000" w:sz="12" w:space="0"/>
                  </w:tcBorders>
                  <w:vAlign w:val="center"/>
                </w:tcPr>
                <w:p>
                  <w:pPr>
                    <w:jc w:val="center"/>
                    <w:rPr>
                      <w:kern w:val="0"/>
                      <w:szCs w:val="21"/>
                    </w:rPr>
                  </w:pPr>
                  <w:r>
                    <w:rPr>
                      <w:kern w:val="0"/>
                      <w:szCs w:val="21"/>
                    </w:rPr>
                    <w:t>监测浓度范围/(μg/m</w:t>
                  </w:r>
                  <w:r>
                    <w:rPr>
                      <w:kern w:val="0"/>
                      <w:szCs w:val="21"/>
                      <w:vertAlign w:val="superscript"/>
                    </w:rPr>
                    <w:t>3</w:t>
                  </w:r>
                  <w:r>
                    <w:rPr>
                      <w:kern w:val="0"/>
                      <w:szCs w:val="21"/>
                    </w:rPr>
                    <w:t>)</w:t>
                  </w:r>
                </w:p>
              </w:tc>
              <w:tc>
                <w:tcPr>
                  <w:tcW w:w="417" w:type="pct"/>
                  <w:vMerge w:val="restart"/>
                  <w:tcBorders>
                    <w:top w:val="single" w:color="000000" w:sz="12" w:space="0"/>
                  </w:tcBorders>
                  <w:vAlign w:val="center"/>
                </w:tcPr>
                <w:p>
                  <w:pPr>
                    <w:jc w:val="center"/>
                    <w:rPr>
                      <w:kern w:val="0"/>
                      <w:szCs w:val="21"/>
                    </w:rPr>
                  </w:pPr>
                  <w:r>
                    <w:rPr>
                      <w:kern w:val="0"/>
                      <w:szCs w:val="21"/>
                    </w:rPr>
                    <w:t>最大浓度占标率/%</w:t>
                  </w:r>
                </w:p>
              </w:tc>
              <w:tc>
                <w:tcPr>
                  <w:tcW w:w="342" w:type="pct"/>
                  <w:vMerge w:val="restart"/>
                  <w:tcBorders>
                    <w:top w:val="single" w:color="000000" w:sz="12" w:space="0"/>
                  </w:tcBorders>
                  <w:vAlign w:val="center"/>
                </w:tcPr>
                <w:p>
                  <w:pPr>
                    <w:jc w:val="center"/>
                    <w:rPr>
                      <w:kern w:val="0"/>
                      <w:szCs w:val="21"/>
                    </w:rPr>
                  </w:pPr>
                  <w:r>
                    <w:rPr>
                      <w:kern w:val="0"/>
                      <w:szCs w:val="21"/>
                    </w:rPr>
                    <w:t>超标率/%</w:t>
                  </w:r>
                </w:p>
              </w:tc>
              <w:tc>
                <w:tcPr>
                  <w:tcW w:w="411" w:type="pct"/>
                  <w:vMerge w:val="restart"/>
                  <w:tcBorders>
                    <w:top w:val="single" w:color="000000" w:sz="12" w:space="0"/>
                    <w:right w:val="nil"/>
                  </w:tcBorders>
                  <w:vAlign w:val="center"/>
                </w:tcPr>
                <w:p>
                  <w:pPr>
                    <w:jc w:val="center"/>
                    <w:rPr>
                      <w:kern w:val="0"/>
                      <w:szCs w:val="21"/>
                    </w:rPr>
                  </w:pPr>
                  <w:r>
                    <w:rPr>
                      <w:kern w:val="0"/>
                      <w:szCs w:val="21"/>
                    </w:rPr>
                    <w:t>达标情况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jc w:val="center"/>
              </w:trPr>
              <w:tc>
                <w:tcPr>
                  <w:tcW w:w="502" w:type="pct"/>
                  <w:vMerge w:val="continue"/>
                  <w:tcBorders>
                    <w:left w:val="nil"/>
                  </w:tcBorders>
                  <w:vAlign w:val="center"/>
                </w:tcPr>
                <w:p>
                  <w:pPr>
                    <w:jc w:val="center"/>
                    <w:rPr>
                      <w:kern w:val="0"/>
                      <w:szCs w:val="21"/>
                    </w:rPr>
                  </w:pPr>
                </w:p>
              </w:tc>
              <w:tc>
                <w:tcPr>
                  <w:tcW w:w="586" w:type="pct"/>
                  <w:tcBorders>
                    <w:top w:val="single" w:color="auto" w:sz="4" w:space="0"/>
                    <w:right w:val="single" w:color="auto" w:sz="4" w:space="0"/>
                  </w:tcBorders>
                  <w:vAlign w:val="center"/>
                </w:tcPr>
                <w:p>
                  <w:pPr>
                    <w:jc w:val="center"/>
                    <w:rPr>
                      <w:kern w:val="0"/>
                      <w:szCs w:val="21"/>
                    </w:rPr>
                  </w:pPr>
                  <w:r>
                    <w:rPr>
                      <w:rFonts w:hint="eastAsia"/>
                      <w:kern w:val="0"/>
                      <w:szCs w:val="21"/>
                    </w:rPr>
                    <w:t>北纬</w:t>
                  </w:r>
                </w:p>
              </w:tc>
              <w:tc>
                <w:tcPr>
                  <w:tcW w:w="699" w:type="pct"/>
                  <w:tcBorders>
                    <w:top w:val="single" w:color="auto" w:sz="4" w:space="0"/>
                    <w:left w:val="single" w:color="auto" w:sz="4" w:space="0"/>
                  </w:tcBorders>
                  <w:vAlign w:val="center"/>
                </w:tcPr>
                <w:p>
                  <w:pPr>
                    <w:jc w:val="center"/>
                    <w:rPr>
                      <w:kern w:val="0"/>
                      <w:szCs w:val="21"/>
                    </w:rPr>
                  </w:pPr>
                  <w:r>
                    <w:rPr>
                      <w:rFonts w:hint="eastAsia"/>
                      <w:kern w:val="0"/>
                      <w:szCs w:val="21"/>
                    </w:rPr>
                    <w:t>东经</w:t>
                  </w:r>
                </w:p>
              </w:tc>
              <w:tc>
                <w:tcPr>
                  <w:tcW w:w="388" w:type="pct"/>
                  <w:vMerge w:val="continue"/>
                  <w:vAlign w:val="center"/>
                </w:tcPr>
                <w:p>
                  <w:pPr>
                    <w:jc w:val="center"/>
                    <w:rPr>
                      <w:kern w:val="0"/>
                      <w:szCs w:val="21"/>
                    </w:rPr>
                  </w:pPr>
                </w:p>
              </w:tc>
              <w:tc>
                <w:tcPr>
                  <w:tcW w:w="466" w:type="pct"/>
                  <w:vMerge w:val="continue"/>
                  <w:vAlign w:val="center"/>
                </w:tcPr>
                <w:p>
                  <w:pPr>
                    <w:jc w:val="center"/>
                    <w:rPr>
                      <w:kern w:val="0"/>
                      <w:szCs w:val="21"/>
                    </w:rPr>
                  </w:pPr>
                </w:p>
              </w:tc>
              <w:tc>
                <w:tcPr>
                  <w:tcW w:w="622" w:type="pct"/>
                  <w:vMerge w:val="continue"/>
                  <w:vAlign w:val="center"/>
                </w:tcPr>
                <w:p>
                  <w:pPr>
                    <w:jc w:val="center"/>
                    <w:rPr>
                      <w:kern w:val="0"/>
                      <w:szCs w:val="21"/>
                    </w:rPr>
                  </w:pPr>
                </w:p>
              </w:tc>
              <w:tc>
                <w:tcPr>
                  <w:tcW w:w="566" w:type="pct"/>
                  <w:vMerge w:val="continue"/>
                  <w:vAlign w:val="center"/>
                </w:tcPr>
                <w:p>
                  <w:pPr>
                    <w:jc w:val="center"/>
                    <w:rPr>
                      <w:kern w:val="0"/>
                      <w:szCs w:val="21"/>
                    </w:rPr>
                  </w:pPr>
                </w:p>
              </w:tc>
              <w:tc>
                <w:tcPr>
                  <w:tcW w:w="417" w:type="pct"/>
                  <w:vMerge w:val="continue"/>
                  <w:vAlign w:val="center"/>
                </w:tcPr>
                <w:p>
                  <w:pPr>
                    <w:jc w:val="center"/>
                    <w:rPr>
                      <w:kern w:val="0"/>
                      <w:szCs w:val="21"/>
                    </w:rPr>
                  </w:pPr>
                </w:p>
              </w:tc>
              <w:tc>
                <w:tcPr>
                  <w:tcW w:w="342" w:type="pct"/>
                  <w:vMerge w:val="continue"/>
                  <w:vAlign w:val="center"/>
                </w:tcPr>
                <w:p>
                  <w:pPr>
                    <w:jc w:val="center"/>
                    <w:rPr>
                      <w:kern w:val="0"/>
                      <w:szCs w:val="21"/>
                    </w:rPr>
                  </w:pPr>
                </w:p>
              </w:tc>
              <w:tc>
                <w:tcPr>
                  <w:tcW w:w="411" w:type="pct"/>
                  <w:vMerge w:val="continue"/>
                  <w:tcBorders>
                    <w:right w:val="nil"/>
                  </w:tcBorders>
                  <w:vAlign w:val="center"/>
                </w:tcPr>
                <w:p>
                  <w:pPr>
                    <w:jc w:val="center"/>
                    <w:rPr>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502" w:type="pct"/>
                  <w:tcBorders>
                    <w:left w:val="nil"/>
                  </w:tcBorders>
                  <w:vAlign w:val="center"/>
                </w:tcPr>
                <w:p>
                  <w:pPr>
                    <w:jc w:val="center"/>
                    <w:rPr>
                      <w:kern w:val="0"/>
                      <w:szCs w:val="21"/>
                    </w:rPr>
                  </w:pPr>
                  <w:r>
                    <w:rPr>
                      <w:rFonts w:hint="eastAsia"/>
                      <w:kern w:val="0"/>
                      <w:szCs w:val="21"/>
                    </w:rPr>
                    <w:t>厂址1#</w:t>
                  </w:r>
                </w:p>
              </w:tc>
              <w:tc>
                <w:tcPr>
                  <w:tcW w:w="586" w:type="pct"/>
                  <w:tcBorders>
                    <w:right w:val="single" w:color="auto" w:sz="4" w:space="0"/>
                  </w:tcBorders>
                  <w:vAlign w:val="center"/>
                </w:tcPr>
                <w:p>
                  <w:pPr>
                    <w:jc w:val="center"/>
                    <w:rPr>
                      <w:kern w:val="0"/>
                      <w:szCs w:val="21"/>
                    </w:rPr>
                  </w:pPr>
                  <w:r>
                    <w:rPr>
                      <w:kern w:val="0"/>
                      <w:szCs w:val="21"/>
                    </w:rPr>
                    <w:t>132.628445</w:t>
                  </w:r>
                </w:p>
              </w:tc>
              <w:tc>
                <w:tcPr>
                  <w:tcW w:w="699" w:type="pct"/>
                  <w:tcBorders>
                    <w:left w:val="single" w:color="auto" w:sz="4" w:space="0"/>
                  </w:tcBorders>
                  <w:vAlign w:val="center"/>
                </w:tcPr>
                <w:p>
                  <w:pPr>
                    <w:jc w:val="center"/>
                    <w:rPr>
                      <w:kern w:val="0"/>
                      <w:szCs w:val="21"/>
                    </w:rPr>
                  </w:pPr>
                  <w:r>
                    <w:rPr>
                      <w:kern w:val="0"/>
                      <w:szCs w:val="21"/>
                    </w:rPr>
                    <w:t>47.739018</w:t>
                  </w:r>
                </w:p>
              </w:tc>
              <w:tc>
                <w:tcPr>
                  <w:tcW w:w="388" w:type="pct"/>
                  <w:vAlign w:val="center"/>
                </w:tcPr>
                <w:p>
                  <w:pPr>
                    <w:jc w:val="center"/>
                    <w:rPr>
                      <w:kern w:val="0"/>
                      <w:szCs w:val="21"/>
                    </w:rPr>
                  </w:pPr>
                  <w:r>
                    <w:rPr>
                      <w:rFonts w:hint="eastAsia"/>
                      <w:kern w:val="0"/>
                      <w:szCs w:val="21"/>
                    </w:rPr>
                    <w:t>非甲烷总烃</w:t>
                  </w:r>
                </w:p>
              </w:tc>
              <w:tc>
                <w:tcPr>
                  <w:tcW w:w="466" w:type="pct"/>
                  <w:vAlign w:val="center"/>
                </w:tcPr>
                <w:p>
                  <w:pPr>
                    <w:jc w:val="center"/>
                    <w:rPr>
                      <w:kern w:val="0"/>
                      <w:szCs w:val="21"/>
                    </w:rPr>
                  </w:pPr>
                  <w:r>
                    <w:rPr>
                      <w:rFonts w:hint="eastAsia"/>
                      <w:kern w:val="0"/>
                      <w:szCs w:val="21"/>
                    </w:rPr>
                    <w:t>1小时</w:t>
                  </w:r>
                </w:p>
                <w:p>
                  <w:pPr>
                    <w:jc w:val="center"/>
                    <w:rPr>
                      <w:kern w:val="0"/>
                      <w:szCs w:val="21"/>
                    </w:rPr>
                  </w:pPr>
                  <w:r>
                    <w:rPr>
                      <w:rFonts w:hint="eastAsia"/>
                      <w:kern w:val="0"/>
                      <w:szCs w:val="21"/>
                    </w:rPr>
                    <w:t>平均值</w:t>
                  </w:r>
                </w:p>
              </w:tc>
              <w:tc>
                <w:tcPr>
                  <w:tcW w:w="622" w:type="pct"/>
                  <w:vAlign w:val="center"/>
                </w:tcPr>
                <w:p>
                  <w:pPr>
                    <w:jc w:val="center"/>
                    <w:rPr>
                      <w:kern w:val="0"/>
                      <w:szCs w:val="21"/>
                    </w:rPr>
                  </w:pPr>
                  <w:r>
                    <w:rPr>
                      <w:rFonts w:hint="eastAsia"/>
                      <w:kern w:val="0"/>
                      <w:szCs w:val="21"/>
                    </w:rPr>
                    <w:t>2000</w:t>
                  </w:r>
                </w:p>
              </w:tc>
              <w:tc>
                <w:tcPr>
                  <w:tcW w:w="566" w:type="pct"/>
                  <w:vAlign w:val="center"/>
                </w:tcPr>
                <w:p>
                  <w:pPr>
                    <w:jc w:val="center"/>
                    <w:rPr>
                      <w:kern w:val="0"/>
                      <w:szCs w:val="21"/>
                    </w:rPr>
                  </w:pPr>
                  <w:r>
                    <w:rPr>
                      <w:rFonts w:hint="eastAsia"/>
                      <w:kern w:val="0"/>
                      <w:szCs w:val="21"/>
                    </w:rPr>
                    <w:t>580-620</w:t>
                  </w:r>
                </w:p>
              </w:tc>
              <w:tc>
                <w:tcPr>
                  <w:tcW w:w="417" w:type="pct"/>
                  <w:vAlign w:val="center"/>
                </w:tcPr>
                <w:p>
                  <w:pPr>
                    <w:jc w:val="center"/>
                    <w:rPr>
                      <w:kern w:val="0"/>
                      <w:szCs w:val="21"/>
                    </w:rPr>
                  </w:pPr>
                  <w:r>
                    <w:rPr>
                      <w:rFonts w:hint="eastAsia"/>
                      <w:kern w:val="0"/>
                      <w:szCs w:val="21"/>
                    </w:rPr>
                    <w:t>0.31</w:t>
                  </w:r>
                </w:p>
              </w:tc>
              <w:tc>
                <w:tcPr>
                  <w:tcW w:w="342" w:type="pct"/>
                  <w:vAlign w:val="center"/>
                </w:tcPr>
                <w:p>
                  <w:pPr>
                    <w:jc w:val="center"/>
                    <w:rPr>
                      <w:kern w:val="0"/>
                      <w:szCs w:val="21"/>
                    </w:rPr>
                  </w:pPr>
                  <w:r>
                    <w:rPr>
                      <w:rFonts w:hint="eastAsia"/>
                      <w:kern w:val="0"/>
                      <w:szCs w:val="21"/>
                    </w:rPr>
                    <w:t>0</w:t>
                  </w:r>
                </w:p>
              </w:tc>
              <w:tc>
                <w:tcPr>
                  <w:tcW w:w="411" w:type="pct"/>
                  <w:tcBorders>
                    <w:right w:val="nil"/>
                  </w:tcBorders>
                  <w:vAlign w:val="center"/>
                </w:tcPr>
                <w:p>
                  <w:pPr>
                    <w:jc w:val="center"/>
                    <w:rPr>
                      <w:kern w:val="0"/>
                      <w:szCs w:val="21"/>
                    </w:rPr>
                  </w:pPr>
                  <w:r>
                    <w:rPr>
                      <w:rFonts w:hint="eastAsia"/>
                      <w:kern w:val="0"/>
                      <w:szCs w:val="21"/>
                    </w:rPr>
                    <w:t>达标</w:t>
                  </w:r>
                </w:p>
              </w:tc>
            </w:tr>
          </w:tbl>
          <w:p>
            <w:pPr>
              <w:pStyle w:val="21"/>
              <w:spacing w:after="0"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根据上表分析可知，补充监测期间，非甲烷总烃浓度满足《环境空气质量 非甲烷总烃限值》(DB13/1577-2012)中二级标准浓度限值要求。</w:t>
            </w:r>
          </w:p>
          <w:p>
            <w:pPr>
              <w:pStyle w:val="21"/>
              <w:spacing w:after="0" w:line="360" w:lineRule="auto"/>
              <w:ind w:firstLine="560" w:firstLineChars="200"/>
              <w:rPr>
                <w:rFonts w:ascii="Times New Roman" w:hAnsi="Times New Roman" w:eastAsiaTheme="minorEastAsia"/>
                <w:sz w:val="28"/>
              </w:rPr>
            </w:pPr>
            <w:r>
              <w:rPr>
                <w:rFonts w:ascii="Times New Roman" w:hAnsi="Times New Roman" w:eastAsiaTheme="minorEastAsia"/>
                <w:sz w:val="28"/>
              </w:rPr>
              <w:t>综上所述，评价区域为环境空气质量达标区。</w:t>
            </w:r>
            <w:r>
              <w:rPr>
                <w:rFonts w:hint="eastAsia" w:ascii="Times New Roman" w:hAnsi="Times New Roman" w:eastAsiaTheme="minorEastAsia"/>
                <w:sz w:val="28"/>
              </w:rPr>
              <w:t>根据补充监测数据可知，</w:t>
            </w:r>
            <w:r>
              <w:rPr>
                <w:rFonts w:ascii="Times New Roman" w:hAnsi="Times New Roman" w:eastAsiaTheme="minorEastAsia"/>
                <w:sz w:val="28"/>
              </w:rPr>
              <w:t>非甲烷总烃环境空气质量现状满足</w:t>
            </w:r>
            <w:r>
              <w:rPr>
                <w:rFonts w:hint="eastAsia" w:ascii="Times New Roman" w:hAnsi="Times New Roman" w:eastAsiaTheme="minorEastAsia"/>
                <w:sz w:val="28"/>
              </w:rPr>
              <w:t>河北省地方标准《环境空气质量 非甲烷总烃限值》(DB13/1577-2012)中二级标准</w:t>
            </w:r>
            <w:r>
              <w:rPr>
                <w:rFonts w:ascii="Times New Roman" w:hAnsi="Times New Roman" w:eastAsiaTheme="minorEastAsia"/>
                <w:sz w:val="28"/>
              </w:rPr>
              <w:t>。</w:t>
            </w:r>
          </w:p>
          <w:p>
            <w:pPr>
              <w:pStyle w:val="21"/>
              <w:spacing w:after="0" w:line="360" w:lineRule="auto"/>
              <w:ind w:firstLine="560" w:firstLineChars="200"/>
              <w:jc w:val="left"/>
              <w:rPr>
                <w:rFonts w:ascii="Times New Roman" w:hAnsi="Times New Roman" w:eastAsiaTheme="minorEastAsia"/>
                <w:b/>
                <w:sz w:val="28"/>
              </w:rPr>
            </w:pPr>
            <w:r>
              <w:rPr>
                <w:rFonts w:ascii="Times New Roman" w:hAnsi="Times New Roman" w:eastAsiaTheme="minorEastAsia"/>
                <w:b/>
                <w:sz w:val="28"/>
              </w:rPr>
              <w:t>2、地表水</w:t>
            </w:r>
          </w:p>
          <w:p>
            <w:pPr>
              <w:widowControl/>
              <w:adjustRightInd w:val="0"/>
              <w:snapToGrid w:val="0"/>
              <w:spacing w:line="360" w:lineRule="auto"/>
              <w:ind w:firstLine="560" w:firstLineChars="200"/>
              <w:jc w:val="left"/>
              <w:rPr>
                <w:sz w:val="28"/>
                <w:szCs w:val="28"/>
              </w:rPr>
            </w:pPr>
            <w:r>
              <w:rPr>
                <w:rFonts w:hint="eastAsia"/>
                <w:sz w:val="28"/>
                <w:szCs w:val="28"/>
              </w:rPr>
              <w:t>根据《全国重点江河湖泊水功能区划》（2011~2030），区域地表水黑龙江为Ⅲ类水体。本项目引用《同江市医疗废物集中处置中心建设项目环境影响报告书》中对松花江及黑龙江的监测数据，该项目在松花江和黑龙江设置3个监测断面，该监测数据由</w:t>
            </w:r>
            <w:r>
              <w:rPr>
                <w:rFonts w:hint="eastAsia" w:ascii="宋体" w:hAnsi="宋体" w:cs="宋体"/>
                <w:kern w:val="0"/>
                <w:sz w:val="28"/>
                <w:szCs w:val="28"/>
                <w:lang w:bidi="ar"/>
              </w:rPr>
              <w:t>由哈尔滨捷通环境监测有限责任公司出具，监测时间为2</w:t>
            </w:r>
            <w:r>
              <w:rPr>
                <w:sz w:val="28"/>
                <w:szCs w:val="28"/>
              </w:rPr>
              <w:t>018</w:t>
            </w:r>
            <w:r>
              <w:rPr>
                <w:rFonts w:hint="eastAsia" w:ascii="宋体" w:hAnsi="宋体" w:cs="宋体"/>
                <w:sz w:val="28"/>
                <w:szCs w:val="28"/>
              </w:rPr>
              <w:t>年</w:t>
            </w:r>
            <w:r>
              <w:rPr>
                <w:sz w:val="28"/>
                <w:szCs w:val="28"/>
              </w:rPr>
              <w:t>11</w:t>
            </w:r>
            <w:r>
              <w:rPr>
                <w:rFonts w:hint="eastAsia" w:ascii="宋体" w:hAnsi="宋体" w:cs="宋体"/>
                <w:sz w:val="28"/>
                <w:szCs w:val="28"/>
              </w:rPr>
              <w:t>月</w:t>
            </w:r>
            <w:r>
              <w:rPr>
                <w:sz w:val="28"/>
                <w:szCs w:val="28"/>
              </w:rPr>
              <w:t>12</w:t>
            </w:r>
            <w:r>
              <w:rPr>
                <w:rFonts w:hint="eastAsia" w:ascii="宋体" w:hAnsi="宋体" w:cs="宋体"/>
                <w:sz w:val="28"/>
                <w:szCs w:val="28"/>
              </w:rPr>
              <w:t>日，连续监测</w:t>
            </w:r>
            <w:r>
              <w:rPr>
                <w:sz w:val="28"/>
                <w:szCs w:val="28"/>
              </w:rPr>
              <w:t>1</w:t>
            </w:r>
            <w:r>
              <w:rPr>
                <w:rFonts w:hint="eastAsia" w:ascii="宋体" w:hAnsi="宋体" w:cs="宋体"/>
                <w:sz w:val="28"/>
                <w:szCs w:val="28"/>
              </w:rPr>
              <w:t>天。</w:t>
            </w:r>
          </w:p>
          <w:p>
            <w:pPr>
              <w:adjustRightInd w:val="0"/>
              <w:snapToGrid w:val="0"/>
              <w:spacing w:line="360" w:lineRule="auto"/>
              <w:ind w:firstLine="560" w:firstLineChars="200"/>
              <w:rPr>
                <w:sz w:val="28"/>
                <w:szCs w:val="28"/>
              </w:rPr>
            </w:pPr>
            <w:r>
              <w:rPr>
                <w:rFonts w:hint="eastAsia"/>
                <w:sz w:val="28"/>
                <w:szCs w:val="28"/>
              </w:rPr>
              <w:t>具体监测断面位置见下表。</w:t>
            </w:r>
          </w:p>
          <w:p>
            <w:pPr>
              <w:pStyle w:val="58"/>
              <w:spacing w:line="360" w:lineRule="auto"/>
              <w:rPr>
                <w:rFonts w:ascii="Times New Roman" w:hAnsi="Times New Roman" w:eastAsia="宋体" w:cs="Times New Roman"/>
                <w:b/>
              </w:rPr>
            </w:pPr>
            <w:r>
              <w:rPr>
                <w:rFonts w:hint="eastAsia" w:ascii="Times New Roman" w:hAnsi="Times New Roman" w:eastAsia="宋体" w:cs="Times New Roman"/>
                <w:b/>
              </w:rPr>
              <w:t>表13    地表水监测断面布设情况</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1445"/>
              <w:gridCol w:w="1591"/>
              <w:gridCol w:w="476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727" w:type="pct"/>
                  <w:tcBorders>
                    <w:tl2br w:val="nil"/>
                    <w:tr2bl w:val="nil"/>
                  </w:tcBorders>
                  <w:vAlign w:val="center"/>
                </w:tcPr>
                <w:p>
                  <w:pPr>
                    <w:pStyle w:val="156"/>
                    <w:tabs>
                      <w:tab w:val="left" w:pos="6480"/>
                    </w:tabs>
                    <w:textAlignment w:val="center"/>
                  </w:pPr>
                  <w:r>
                    <w:rPr>
                      <w:rFonts w:hint="eastAsia"/>
                    </w:rPr>
                    <w:t>断面编号</w:t>
                  </w:r>
                </w:p>
              </w:tc>
              <w:tc>
                <w:tcPr>
                  <w:tcW w:w="792" w:type="pct"/>
                  <w:tcBorders>
                    <w:tl2br w:val="nil"/>
                    <w:tr2bl w:val="nil"/>
                  </w:tcBorders>
                  <w:vAlign w:val="center"/>
                </w:tcPr>
                <w:p>
                  <w:pPr>
                    <w:pStyle w:val="156"/>
                    <w:tabs>
                      <w:tab w:val="left" w:pos="6480"/>
                    </w:tabs>
                    <w:textAlignment w:val="center"/>
                  </w:pPr>
                  <w:r>
                    <w:rPr>
                      <w:rFonts w:hint="eastAsia"/>
                    </w:rPr>
                    <w:t>河流名称</w:t>
                  </w:r>
                </w:p>
              </w:tc>
              <w:tc>
                <w:tcPr>
                  <w:tcW w:w="872" w:type="pct"/>
                  <w:tcBorders>
                    <w:tl2br w:val="nil"/>
                    <w:tr2bl w:val="nil"/>
                  </w:tcBorders>
                  <w:vAlign w:val="center"/>
                </w:tcPr>
                <w:p>
                  <w:pPr>
                    <w:pStyle w:val="156"/>
                    <w:tabs>
                      <w:tab w:val="left" w:pos="6480"/>
                    </w:tabs>
                    <w:textAlignment w:val="center"/>
                  </w:pPr>
                  <w:r>
                    <w:rPr>
                      <w:rFonts w:hint="eastAsia"/>
                    </w:rPr>
                    <w:t>断面名称</w:t>
                  </w:r>
                </w:p>
              </w:tc>
              <w:tc>
                <w:tcPr>
                  <w:tcW w:w="2610" w:type="pct"/>
                  <w:tcBorders>
                    <w:tl2br w:val="nil"/>
                    <w:tr2bl w:val="nil"/>
                  </w:tcBorders>
                  <w:vAlign w:val="center"/>
                </w:tcPr>
                <w:p>
                  <w:pPr>
                    <w:pStyle w:val="156"/>
                    <w:tabs>
                      <w:tab w:val="left" w:pos="6480"/>
                    </w:tabs>
                    <w:textAlignment w:val="center"/>
                  </w:pPr>
                  <w:r>
                    <w:rPr>
                      <w:rFonts w:hint="eastAsia"/>
                    </w:rPr>
                    <w:t>位置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27" w:type="pct"/>
                  <w:tcBorders>
                    <w:tl2br w:val="nil"/>
                    <w:tr2bl w:val="nil"/>
                  </w:tcBorders>
                  <w:vAlign w:val="center"/>
                </w:tcPr>
                <w:p>
                  <w:pPr>
                    <w:pStyle w:val="156"/>
                    <w:tabs>
                      <w:tab w:val="left" w:pos="6480"/>
                    </w:tabs>
                    <w:textAlignment w:val="center"/>
                  </w:pPr>
                  <w:r>
                    <w:rPr>
                      <w:rFonts w:hint="eastAsia"/>
                    </w:rPr>
                    <w:t>1</w:t>
                  </w:r>
                  <w:r>
                    <w:t>#</w:t>
                  </w:r>
                </w:p>
              </w:tc>
              <w:tc>
                <w:tcPr>
                  <w:tcW w:w="792" w:type="pct"/>
                  <w:tcBorders>
                    <w:tl2br w:val="nil"/>
                    <w:tr2bl w:val="nil"/>
                  </w:tcBorders>
                  <w:vAlign w:val="center"/>
                </w:tcPr>
                <w:p>
                  <w:pPr>
                    <w:pStyle w:val="156"/>
                    <w:tabs>
                      <w:tab w:val="left" w:pos="6480"/>
                    </w:tabs>
                    <w:textAlignment w:val="center"/>
                  </w:pPr>
                  <w:r>
                    <w:rPr>
                      <w:rFonts w:hint="eastAsia"/>
                    </w:rPr>
                    <w:t>松花江</w:t>
                  </w:r>
                </w:p>
              </w:tc>
              <w:tc>
                <w:tcPr>
                  <w:tcW w:w="872" w:type="pct"/>
                  <w:tcBorders>
                    <w:tl2br w:val="nil"/>
                    <w:tr2bl w:val="nil"/>
                  </w:tcBorders>
                  <w:vAlign w:val="center"/>
                </w:tcPr>
                <w:p>
                  <w:pPr>
                    <w:pStyle w:val="156"/>
                    <w:tabs>
                      <w:tab w:val="left" w:pos="6480"/>
                    </w:tabs>
                    <w:textAlignment w:val="center"/>
                  </w:pPr>
                  <w:r>
                    <w:rPr>
                      <w:rFonts w:hint="eastAsia"/>
                    </w:rPr>
                    <w:t>同江断面</w:t>
                  </w:r>
                </w:p>
                <w:p>
                  <w:pPr>
                    <w:pStyle w:val="156"/>
                    <w:tabs>
                      <w:tab w:val="left" w:pos="6480"/>
                    </w:tabs>
                    <w:textAlignment w:val="center"/>
                  </w:pPr>
                  <w:r>
                    <w:rPr>
                      <w:rFonts w:hint="eastAsia"/>
                    </w:rPr>
                    <w:t>（例行）</w:t>
                  </w:r>
                </w:p>
              </w:tc>
              <w:tc>
                <w:tcPr>
                  <w:tcW w:w="2610" w:type="pct"/>
                  <w:tcBorders>
                    <w:tl2br w:val="nil"/>
                    <w:tr2bl w:val="nil"/>
                  </w:tcBorders>
                  <w:vAlign w:val="center"/>
                </w:tcPr>
                <w:p>
                  <w:pPr>
                    <w:pStyle w:val="156"/>
                    <w:tabs>
                      <w:tab w:val="left" w:pos="6480"/>
                    </w:tabs>
                    <w:textAlignment w:val="center"/>
                  </w:pPr>
                  <w:r>
                    <w:rPr>
                      <w:rFonts w:hint="eastAsia"/>
                    </w:rPr>
                    <w:t>松花江断面，距与黑龙江交汇口内3km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27" w:type="pct"/>
                  <w:tcBorders>
                    <w:tl2br w:val="nil"/>
                    <w:tr2bl w:val="nil"/>
                  </w:tcBorders>
                  <w:vAlign w:val="center"/>
                </w:tcPr>
                <w:p>
                  <w:pPr>
                    <w:pStyle w:val="156"/>
                    <w:tabs>
                      <w:tab w:val="left" w:pos="6480"/>
                    </w:tabs>
                    <w:textAlignment w:val="center"/>
                  </w:pPr>
                  <w:r>
                    <w:rPr>
                      <w:rFonts w:hint="eastAsia"/>
                    </w:rPr>
                    <w:t>2</w:t>
                  </w:r>
                  <w:r>
                    <w:t>#</w:t>
                  </w:r>
                </w:p>
              </w:tc>
              <w:tc>
                <w:tcPr>
                  <w:tcW w:w="792" w:type="pct"/>
                  <w:tcBorders>
                    <w:tl2br w:val="nil"/>
                    <w:tr2bl w:val="nil"/>
                  </w:tcBorders>
                  <w:vAlign w:val="center"/>
                </w:tcPr>
                <w:p>
                  <w:pPr>
                    <w:pStyle w:val="156"/>
                    <w:tabs>
                      <w:tab w:val="left" w:pos="6480"/>
                    </w:tabs>
                    <w:textAlignment w:val="center"/>
                  </w:pPr>
                  <w:r>
                    <w:rPr>
                      <w:rFonts w:hint="eastAsia"/>
                    </w:rPr>
                    <w:t>黑龙江</w:t>
                  </w:r>
                </w:p>
              </w:tc>
              <w:tc>
                <w:tcPr>
                  <w:tcW w:w="872" w:type="pct"/>
                  <w:tcBorders>
                    <w:tl2br w:val="nil"/>
                    <w:tr2bl w:val="nil"/>
                  </w:tcBorders>
                  <w:vAlign w:val="center"/>
                </w:tcPr>
                <w:p>
                  <w:pPr>
                    <w:pStyle w:val="156"/>
                    <w:tabs>
                      <w:tab w:val="left" w:pos="6480"/>
                    </w:tabs>
                    <w:textAlignment w:val="center"/>
                  </w:pPr>
                  <w:r>
                    <w:rPr>
                      <w:rFonts w:hint="eastAsia"/>
                    </w:rPr>
                    <w:t>松花江口上</w:t>
                  </w:r>
                </w:p>
              </w:tc>
              <w:tc>
                <w:tcPr>
                  <w:tcW w:w="2610" w:type="pct"/>
                  <w:tcBorders>
                    <w:tl2br w:val="nil"/>
                    <w:tr2bl w:val="nil"/>
                  </w:tcBorders>
                  <w:vAlign w:val="center"/>
                </w:tcPr>
                <w:p>
                  <w:pPr>
                    <w:pStyle w:val="156"/>
                    <w:tabs>
                      <w:tab w:val="left" w:pos="6480"/>
                    </w:tabs>
                    <w:textAlignment w:val="center"/>
                  </w:pPr>
                  <w:r>
                    <w:rPr>
                      <w:rFonts w:hint="eastAsia"/>
                    </w:rPr>
                    <w:t>黑龙江断面，松花江入黑龙江口上游3km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727" w:type="pct"/>
                  <w:tcBorders>
                    <w:tl2br w:val="nil"/>
                    <w:tr2bl w:val="nil"/>
                  </w:tcBorders>
                  <w:vAlign w:val="center"/>
                </w:tcPr>
                <w:p>
                  <w:pPr>
                    <w:pStyle w:val="156"/>
                    <w:tabs>
                      <w:tab w:val="left" w:pos="6480"/>
                    </w:tabs>
                    <w:textAlignment w:val="center"/>
                  </w:pPr>
                  <w:r>
                    <w:rPr>
                      <w:rFonts w:hint="eastAsia"/>
                    </w:rPr>
                    <w:t>3</w:t>
                  </w:r>
                  <w:r>
                    <w:t>#</w:t>
                  </w:r>
                </w:p>
              </w:tc>
              <w:tc>
                <w:tcPr>
                  <w:tcW w:w="792" w:type="pct"/>
                  <w:tcBorders>
                    <w:tl2br w:val="nil"/>
                    <w:tr2bl w:val="nil"/>
                  </w:tcBorders>
                  <w:vAlign w:val="center"/>
                </w:tcPr>
                <w:p>
                  <w:pPr>
                    <w:pStyle w:val="156"/>
                    <w:tabs>
                      <w:tab w:val="left" w:pos="6480"/>
                    </w:tabs>
                    <w:textAlignment w:val="center"/>
                  </w:pPr>
                  <w:r>
                    <w:rPr>
                      <w:rFonts w:hint="eastAsia"/>
                    </w:rPr>
                    <w:t>黑龙江</w:t>
                  </w:r>
                </w:p>
              </w:tc>
              <w:tc>
                <w:tcPr>
                  <w:tcW w:w="872" w:type="pct"/>
                  <w:tcBorders>
                    <w:tl2br w:val="nil"/>
                    <w:tr2bl w:val="nil"/>
                  </w:tcBorders>
                  <w:vAlign w:val="center"/>
                </w:tcPr>
                <w:p>
                  <w:pPr>
                    <w:pStyle w:val="156"/>
                    <w:tabs>
                      <w:tab w:val="left" w:pos="6480"/>
                    </w:tabs>
                    <w:textAlignment w:val="center"/>
                  </w:pPr>
                  <w:r>
                    <w:rPr>
                      <w:rFonts w:hint="eastAsia"/>
                    </w:rPr>
                    <w:t>松花江口下</w:t>
                  </w:r>
                </w:p>
                <w:p>
                  <w:pPr>
                    <w:pStyle w:val="156"/>
                    <w:tabs>
                      <w:tab w:val="left" w:pos="6480"/>
                    </w:tabs>
                    <w:textAlignment w:val="center"/>
                  </w:pPr>
                  <w:r>
                    <w:rPr>
                      <w:rFonts w:hint="eastAsia"/>
                    </w:rPr>
                    <w:t>（例行）</w:t>
                  </w:r>
                </w:p>
              </w:tc>
              <w:tc>
                <w:tcPr>
                  <w:tcW w:w="2610" w:type="pct"/>
                  <w:tcBorders>
                    <w:tl2br w:val="nil"/>
                    <w:tr2bl w:val="nil"/>
                  </w:tcBorders>
                  <w:vAlign w:val="center"/>
                </w:tcPr>
                <w:p>
                  <w:pPr>
                    <w:pStyle w:val="156"/>
                    <w:tabs>
                      <w:tab w:val="left" w:pos="6480"/>
                    </w:tabs>
                    <w:textAlignment w:val="center"/>
                  </w:pPr>
                  <w:r>
                    <w:rPr>
                      <w:rFonts w:hint="eastAsia"/>
                    </w:rPr>
                    <w:t>黑龙江断面，莲花河入黑龙江下游500m，松花江入黑龙江下游45km</w:t>
                  </w:r>
                </w:p>
              </w:tc>
            </w:tr>
          </w:tbl>
          <w:p>
            <w:pPr>
              <w:jc w:val="center"/>
              <w:rPr>
                <w:b/>
                <w:bCs/>
                <w:sz w:val="24"/>
                <w:szCs w:val="24"/>
              </w:rPr>
            </w:pPr>
            <w:r>
              <w:drawing>
                <wp:anchor distT="0" distB="0" distL="114300" distR="114300" simplePos="0" relativeHeight="251691008" behindDoc="1" locked="0" layoutInCell="1" allowOverlap="1">
                  <wp:simplePos x="0" y="0"/>
                  <wp:positionH relativeFrom="column">
                    <wp:posOffset>-24130</wp:posOffset>
                  </wp:positionH>
                  <wp:positionV relativeFrom="paragraph">
                    <wp:posOffset>159385</wp:posOffset>
                  </wp:positionV>
                  <wp:extent cx="5273675" cy="2626995"/>
                  <wp:effectExtent l="0" t="0" r="9525" b="1905"/>
                  <wp:wrapNone/>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1"/>
                          <a:stretch>
                            <a:fillRect/>
                          </a:stretch>
                        </pic:blipFill>
                        <pic:spPr>
                          <a:xfrm>
                            <a:off x="0" y="0"/>
                            <a:ext cx="5273675" cy="2626995"/>
                          </a:xfrm>
                          <a:prstGeom prst="rect">
                            <a:avLst/>
                          </a:prstGeom>
                          <a:noFill/>
                          <a:ln>
                            <a:noFill/>
                          </a:ln>
                        </pic:spPr>
                      </pic:pic>
                    </a:graphicData>
                  </a:graphic>
                </wp:anchor>
              </w:drawing>
            </w:r>
          </w:p>
          <w:p>
            <w:pPr>
              <w:pStyle w:val="14"/>
              <w:rPr>
                <w:b/>
                <w:bCs/>
                <w:sz w:val="24"/>
                <w:szCs w:val="24"/>
              </w:rPr>
            </w:pPr>
            <w:r>
              <w:rPr>
                <w:sz w:val="24"/>
              </w:rPr>
              <mc:AlternateContent>
                <mc:Choice Requires="wps">
                  <w:drawing>
                    <wp:anchor distT="0" distB="0" distL="114300" distR="114300" simplePos="0" relativeHeight="251692032" behindDoc="0" locked="0" layoutInCell="1" allowOverlap="1">
                      <wp:simplePos x="0" y="0"/>
                      <wp:positionH relativeFrom="column">
                        <wp:posOffset>3190875</wp:posOffset>
                      </wp:positionH>
                      <wp:positionV relativeFrom="paragraph">
                        <wp:posOffset>168910</wp:posOffset>
                      </wp:positionV>
                      <wp:extent cx="296545" cy="434340"/>
                      <wp:effectExtent l="3810" t="2540" r="4445" b="7620"/>
                      <wp:wrapNone/>
                      <wp:docPr id="7" name="直接连接符 7"/>
                      <wp:cNvGraphicFramePr/>
                      <a:graphic xmlns:a="http://schemas.openxmlformats.org/drawingml/2006/main">
                        <a:graphicData uri="http://schemas.microsoft.com/office/word/2010/wordprocessingShape">
                          <wps:wsp>
                            <wps:cNvCnPr/>
                            <wps:spPr>
                              <a:xfrm>
                                <a:off x="4333875" y="1294130"/>
                                <a:ext cx="296545" cy="43434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id="_x0000_s1026" o:spid="_x0000_s1026" o:spt="20" style="position:absolute;left:0pt;margin-left:251.25pt;margin-top:13.3pt;height:34.2pt;width:23.35pt;z-index:251692032;mso-width-relative:page;mso-height-relative:page;" filled="f" stroked="t" coordsize="21600,21600" o:gfxdata="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kVs99oA&#10;AAAJAQAADwAAAAAAAAABACAAAAAiAAAAZHJzL2Rvd25yZXYueG1sUEsBAhQAFAAAAAgAh07iQJlB&#10;9k8dAgAACQQAAA4AAAAAAAAAAQAgAAAAKQEAAGRycy9lMm9Eb2MueG1sUEsFBgAAAAAGAAYAWQEA&#10;ALgFAAAAAA==&#10;">
                      <v:fill on="f" focussize="0,0"/>
                      <v:stroke weight="3pt" color="#4F81BD [3204]" joinstyle="round"/>
                      <v:imagedata o:title=""/>
                      <o:lock v:ext="edit" aspectratio="f"/>
                      <v:shadow on="t" color="#000000" opacity="22937f" offset="0pt,1.81102362204724pt" origin="0f,32768f" matrix="65536f,0f,0f,65536f"/>
                    </v:line>
                  </w:pict>
                </mc:Fallback>
              </mc:AlternateContent>
            </w:r>
          </w:p>
          <w:p>
            <w:pPr>
              <w:pStyle w:val="14"/>
              <w:rPr>
                <w:b/>
                <w:bCs/>
                <w:sz w:val="24"/>
                <w:szCs w:val="24"/>
              </w:rPr>
            </w:pPr>
            <w:r>
              <w:rPr>
                <w:sz w:val="24"/>
              </w:rPr>
              <mc:AlternateContent>
                <mc:Choice Requires="wps">
                  <w:drawing>
                    <wp:anchor distT="0" distB="0" distL="114300" distR="114300" simplePos="0" relativeHeight="251697152" behindDoc="0" locked="0" layoutInCell="1" allowOverlap="1">
                      <wp:simplePos x="0" y="0"/>
                      <wp:positionH relativeFrom="column">
                        <wp:posOffset>3401060</wp:posOffset>
                      </wp:positionH>
                      <wp:positionV relativeFrom="paragraph">
                        <wp:posOffset>5715</wp:posOffset>
                      </wp:positionV>
                      <wp:extent cx="571500" cy="360045"/>
                      <wp:effectExtent l="0" t="0" r="0" b="0"/>
                      <wp:wrapNone/>
                      <wp:docPr id="13" name="矩形 13"/>
                      <wp:cNvGraphicFramePr/>
                      <a:graphic xmlns:a="http://schemas.openxmlformats.org/drawingml/2006/main">
                        <a:graphicData uri="http://schemas.microsoft.com/office/word/2010/wordprocessingShape">
                          <wps:wsp>
                            <wps:cNvSpPr/>
                            <wps:spPr>
                              <a:xfrm>
                                <a:off x="0" y="0"/>
                                <a:ext cx="571500" cy="3600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FF"/>
                                    </w:rPr>
                                  </w:pPr>
                                  <w:r>
                                    <w:rPr>
                                      <w:rFonts w:hint="eastAsia"/>
                                      <w:color w:val="0000FF"/>
                                    </w:rPr>
                                    <w:t>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7.8pt;margin-top:0.45pt;height:28.35pt;width:45pt;z-index:251697152;v-text-anchor:middle;mso-width-relative:page;mso-height-relative:page;" filled="f" stroked="f" coordsize="21600,21600" o:gfxdata="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TUjAl1AAAAAcBAAAPAAAAAAAAAAEAIAAAACIAAABkcnMvZG93bnJldi54&#10;bWxQSwECFAAUAAAACACHTuJA3xKUZzcCAABJBAAADgAAAAAAAAABACAAAAAjAQAAZHJzL2Uyb0Rv&#10;Yy54bWxQSwUGAAAAAAYABgBZAQAAzAUAAAAA&#10;">
                      <v:fill on="f" focussize="0,0"/>
                      <v:stroke on="f" weight="2pt"/>
                      <v:imagedata o:title=""/>
                      <o:lock v:ext="edit" aspectratio="f"/>
                      <v:textbox>
                        <w:txbxContent>
                          <w:p>
                            <w:pPr>
                              <w:jc w:val="center"/>
                              <w:rPr>
                                <w:color w:val="0000FF"/>
                              </w:rPr>
                            </w:pPr>
                            <w:r>
                              <w:rPr>
                                <w:rFonts w:hint="eastAsia"/>
                                <w:color w:val="0000FF"/>
                              </w:rPr>
                              <w:t>3#</w:t>
                            </w:r>
                          </w:p>
                        </w:txbxContent>
                      </v:textbox>
                    </v:rect>
                  </w:pict>
                </mc:Fallback>
              </mc:AlternateContent>
            </w:r>
          </w:p>
          <w:p>
            <w:pPr>
              <w:pStyle w:val="14"/>
              <w:rPr>
                <w:b/>
                <w:bCs/>
                <w:sz w:val="24"/>
                <w:szCs w:val="24"/>
              </w:rPr>
            </w:pPr>
            <w:r>
              <w:rPr>
                <w:sz w:val="24"/>
              </w:rPr>
              <mc:AlternateContent>
                <mc:Choice Requires="wps">
                  <w:drawing>
                    <wp:anchor distT="0" distB="0" distL="114300" distR="114300" simplePos="0" relativeHeight="251696128" behindDoc="0" locked="0" layoutInCell="1" allowOverlap="1">
                      <wp:simplePos x="0" y="0"/>
                      <wp:positionH relativeFrom="column">
                        <wp:posOffset>1978025</wp:posOffset>
                      </wp:positionH>
                      <wp:positionV relativeFrom="paragraph">
                        <wp:posOffset>189230</wp:posOffset>
                      </wp:positionV>
                      <wp:extent cx="571500" cy="360045"/>
                      <wp:effectExtent l="0" t="0" r="0" b="0"/>
                      <wp:wrapNone/>
                      <wp:docPr id="12" name="矩形 12"/>
                      <wp:cNvGraphicFramePr/>
                      <a:graphic xmlns:a="http://schemas.openxmlformats.org/drawingml/2006/main">
                        <a:graphicData uri="http://schemas.microsoft.com/office/word/2010/wordprocessingShape">
                          <wps:wsp>
                            <wps:cNvSpPr/>
                            <wps:spPr>
                              <a:xfrm>
                                <a:off x="0" y="0"/>
                                <a:ext cx="571500" cy="3600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FF"/>
                                    </w:rPr>
                                  </w:pPr>
                                  <w:r>
                                    <w:rPr>
                                      <w:rFonts w:hint="eastAsia"/>
                                      <w:color w:val="0000FF"/>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5.75pt;margin-top:14.9pt;height:28.35pt;width:45pt;z-index:251696128;v-text-anchor:middle;mso-width-relative:page;mso-height-relative:page;" filled="f" stroked="f" coordsize="21600,21600" o:gfxdata="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MVLuPXAAAACQEAAA8AAAAAAAAAAQAgAAAAIgAAAGRycy9kb3ducmV2&#10;LnhtbFBLAQIUABQAAAAIAIdO4kBDSaN1NgIAAEkEAAAOAAAAAAAAAAEAIAAAACYBAABkcnMvZTJv&#10;RG9jLnhtbFBLBQYAAAAABgAGAFkBAADOBQAAAAA=&#10;">
                      <v:fill on="f" focussize="0,0"/>
                      <v:stroke on="f" weight="2pt"/>
                      <v:imagedata o:title=""/>
                      <o:lock v:ext="edit" aspectratio="f"/>
                      <v:textbox>
                        <w:txbxContent>
                          <w:p>
                            <w:pPr>
                              <w:jc w:val="center"/>
                              <w:rPr>
                                <w:color w:val="0000FF"/>
                              </w:rPr>
                            </w:pPr>
                            <w:r>
                              <w:rPr>
                                <w:rFonts w:hint="eastAsia"/>
                                <w:color w:val="0000FF"/>
                              </w:rPr>
                              <w:t>2#</w:t>
                            </w:r>
                          </w:p>
                        </w:txbxContent>
                      </v:textbox>
                    </v:rect>
                  </w:pict>
                </mc:Fallback>
              </mc:AlternateContent>
            </w:r>
            <w:r>
              <w:rPr>
                <w:sz w:val="24"/>
              </w:rPr>
              <mc:AlternateContent>
                <mc:Choice Requires="wps">
                  <w:drawing>
                    <wp:anchor distT="0" distB="0" distL="114300" distR="114300" simplePos="0" relativeHeight="251694080" behindDoc="0" locked="0" layoutInCell="1" allowOverlap="1">
                      <wp:simplePos x="0" y="0"/>
                      <wp:positionH relativeFrom="column">
                        <wp:posOffset>1941830</wp:posOffset>
                      </wp:positionH>
                      <wp:positionV relativeFrom="paragraph">
                        <wp:posOffset>405765</wp:posOffset>
                      </wp:positionV>
                      <wp:extent cx="275590" cy="254000"/>
                      <wp:effectExtent l="3175" t="3810" r="13335" b="8890"/>
                      <wp:wrapNone/>
                      <wp:docPr id="17" name="直接连接符 17"/>
                      <wp:cNvGraphicFramePr/>
                      <a:graphic xmlns:a="http://schemas.openxmlformats.org/drawingml/2006/main">
                        <a:graphicData uri="http://schemas.microsoft.com/office/word/2010/wordprocessingShape">
                          <wps:wsp>
                            <wps:cNvCnPr/>
                            <wps:spPr>
                              <a:xfrm flipH="1">
                                <a:off x="3084830" y="2475865"/>
                                <a:ext cx="275590" cy="25400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id="_x0000_s1026" o:spid="_x0000_s1026" o:spt="20" style="position:absolute;left:0pt;flip:x;margin-left:152.9pt;margin-top:31.95pt;height:20pt;width:21.7pt;z-index:251694080;mso-width-relative:page;mso-height-relative:page;" filled="f" stroked="t" coordsize="21600,21600" o:gfxdata="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cD&#10;DTvXAAAACgEAAA8AAAAAAAAAAQAgAAAAIgAAAGRycy9kb3ducmV2LnhtbFBLAQIUABQAAAAIAIdO&#10;4kDzDbt1JAIAABUEAAAOAAAAAAAAAAEAIAAAACYBAABkcnMvZTJvRG9jLnhtbFBLBQYAAAAABgAG&#10;AFkBAAC8BQAAAAA=&#10;">
                      <v:fill on="f" focussize="0,0"/>
                      <v:stroke weight="3pt" color="#4F81BD [3204]" joinstyle="round"/>
                      <v:imagedata o:title=""/>
                      <o:lock v:ext="edit" aspectratio="f"/>
                      <v:shadow on="t" color="#000000" opacity="22937f" offset="0pt,1.81102362204724pt" origin="0f,32768f" matrix="65536f,0f,0f,65536f"/>
                    </v:line>
                  </w:pict>
                </mc:Fallback>
              </mc:AlternateContent>
            </w:r>
          </w:p>
          <w:p>
            <w:pPr>
              <w:pStyle w:val="14"/>
              <w:rPr>
                <w:b/>
                <w:bCs/>
                <w:sz w:val="24"/>
                <w:szCs w:val="24"/>
              </w:rPr>
            </w:pPr>
            <w:r>
              <w:rPr>
                <w:sz w:val="24"/>
              </w:rPr>
              <mc:AlternateContent>
                <mc:Choice Requires="wps">
                  <w:drawing>
                    <wp:anchor distT="0" distB="0" distL="114300" distR="114300" simplePos="0" relativeHeight="251695104" behindDoc="0" locked="0" layoutInCell="1" allowOverlap="1">
                      <wp:simplePos x="0" y="0"/>
                      <wp:positionH relativeFrom="column">
                        <wp:posOffset>2116455</wp:posOffset>
                      </wp:positionH>
                      <wp:positionV relativeFrom="paragraph">
                        <wp:posOffset>199390</wp:posOffset>
                      </wp:positionV>
                      <wp:extent cx="571500" cy="360045"/>
                      <wp:effectExtent l="0" t="0" r="0" b="0"/>
                      <wp:wrapNone/>
                      <wp:docPr id="11" name="矩形 11"/>
                      <wp:cNvGraphicFramePr/>
                      <a:graphic xmlns:a="http://schemas.openxmlformats.org/drawingml/2006/main">
                        <a:graphicData uri="http://schemas.microsoft.com/office/word/2010/wordprocessingShape">
                          <wps:wsp>
                            <wps:cNvSpPr/>
                            <wps:spPr>
                              <a:xfrm>
                                <a:off x="3508375" y="2767965"/>
                                <a:ext cx="571500" cy="3600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FF"/>
                                    </w:rPr>
                                  </w:pPr>
                                  <w:r>
                                    <w:rPr>
                                      <w:rFonts w:hint="eastAsia"/>
                                      <w:color w:val="0000FF"/>
                                    </w:rPr>
                                    <w:t>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6.65pt;margin-top:15.7pt;height:28.35pt;width:45pt;z-index:251695104;v-text-anchor:middle;mso-width-relative:page;mso-height-relative:page;" filled="f" stroked="f" coordsize="21600,21600" o:gfxdata="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Q9j7NYAAAAJAQAADwAAAAAAAAABACAAAAAi&#10;AAAAZHJzL2Rvd25yZXYueG1sUEsBAhQAFAAAAAgAh07iQFq/Uc5FAgAAVQQAAA4AAAAAAAAAAQAg&#10;AAAAJQEAAGRycy9lMm9Eb2MueG1sUEsFBgAAAAAGAAYAWQEAANwFAAAAAA==&#10;">
                      <v:fill on="f" focussize="0,0"/>
                      <v:stroke on="f" weight="2pt"/>
                      <v:imagedata o:title=""/>
                      <o:lock v:ext="edit" aspectratio="f"/>
                      <v:textbox>
                        <w:txbxContent>
                          <w:p>
                            <w:pPr>
                              <w:jc w:val="center"/>
                              <w:rPr>
                                <w:color w:val="0000FF"/>
                              </w:rPr>
                            </w:pPr>
                            <w:r>
                              <w:rPr>
                                <w:rFonts w:hint="eastAsia"/>
                                <w:color w:val="0000FF"/>
                              </w:rPr>
                              <w:t>1#</w:t>
                            </w:r>
                          </w:p>
                        </w:txbxContent>
                      </v:textbox>
                    </v:rect>
                  </w:pict>
                </mc:Fallback>
              </mc:AlternateContent>
            </w:r>
            <w:r>
              <w:rPr>
                <w:sz w:val="24"/>
              </w:rPr>
              <mc:AlternateContent>
                <mc:Choice Requires="wps">
                  <w:drawing>
                    <wp:anchor distT="0" distB="0" distL="114300" distR="114300" simplePos="0" relativeHeight="251693056" behindDoc="0" locked="0" layoutInCell="1" allowOverlap="1">
                      <wp:simplePos x="0" y="0"/>
                      <wp:positionH relativeFrom="column">
                        <wp:posOffset>2042795</wp:posOffset>
                      </wp:positionH>
                      <wp:positionV relativeFrom="paragraph">
                        <wp:posOffset>298450</wp:posOffset>
                      </wp:positionV>
                      <wp:extent cx="259080" cy="79375"/>
                      <wp:effectExtent l="1270" t="4445" r="6350" b="5080"/>
                      <wp:wrapNone/>
                      <wp:docPr id="18" name="直接连接符 18"/>
                      <wp:cNvGraphicFramePr/>
                      <a:graphic xmlns:a="http://schemas.openxmlformats.org/drawingml/2006/main">
                        <a:graphicData uri="http://schemas.microsoft.com/office/word/2010/wordprocessingShape">
                          <wps:wsp>
                            <wps:cNvCnPr/>
                            <wps:spPr>
                              <a:xfrm flipH="1" flipV="1">
                                <a:off x="3185795" y="2840990"/>
                                <a:ext cx="259080" cy="79375"/>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line id="_x0000_s1026" o:spid="_x0000_s1026" o:spt="20" style="position:absolute;left:0pt;flip:x y;margin-left:160.85pt;margin-top:23.5pt;height:6.25pt;width:20.4pt;z-index:251693056;mso-width-relative:page;mso-height-relative:page;" filled="f" stroked="t" coordsize="21600,21600" o:gfxdata="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tDBgAtkAAAAJAQAADwAAAAAAAAABACAAAAAiAAAAZHJzL2Rvd25yZXYueG1sUEsBAhQAFAAA&#10;AAgAh07iQMd0neonAgAAHgQAAA4AAAAAAAAAAQAgAAAAKAEAAGRycy9lMm9Eb2MueG1sUEsFBgAA&#10;AAAGAAYAWQEAAMEFAAAAAA==&#10;">
                      <v:fill on="f" focussize="0,0"/>
                      <v:stroke weight="3pt" color="#4F81BD [3204]" joinstyle="round"/>
                      <v:imagedata o:title=""/>
                      <o:lock v:ext="edit" aspectratio="f"/>
                      <v:shadow on="t" color="#000000" opacity="22937f" offset="0pt,1.81102362204724pt" origin="0f,32768f" matrix="65536f,0f,0f,65536f"/>
                    </v:line>
                  </w:pict>
                </mc:Fallback>
              </mc:AlternateContent>
            </w:r>
          </w:p>
          <w:p>
            <w:pPr>
              <w:pStyle w:val="14"/>
              <w:rPr>
                <w:b/>
                <w:bCs/>
                <w:sz w:val="24"/>
                <w:szCs w:val="24"/>
              </w:rPr>
            </w:pPr>
            <w:r>
              <w:rPr>
                <w:sz w:val="24"/>
              </w:rPr>
              <mc:AlternateContent>
                <mc:Choice Requires="wps">
                  <w:drawing>
                    <wp:anchor distT="0" distB="0" distL="114300" distR="114300" simplePos="0" relativeHeight="251698176" behindDoc="0" locked="0" layoutInCell="1" allowOverlap="1">
                      <wp:simplePos x="0" y="0"/>
                      <wp:positionH relativeFrom="column">
                        <wp:posOffset>3068955</wp:posOffset>
                      </wp:positionH>
                      <wp:positionV relativeFrom="paragraph">
                        <wp:posOffset>144780</wp:posOffset>
                      </wp:positionV>
                      <wp:extent cx="877570" cy="412750"/>
                      <wp:effectExtent l="685800" t="12700" r="24130" b="19050"/>
                      <wp:wrapNone/>
                      <wp:docPr id="19" name="椭圆形标注 19"/>
                      <wp:cNvGraphicFramePr/>
                      <a:graphic xmlns:a="http://schemas.openxmlformats.org/drawingml/2006/main">
                        <a:graphicData uri="http://schemas.microsoft.com/office/word/2010/wordprocessingShape">
                          <wps:wsp>
                            <wps:cNvSpPr/>
                            <wps:spPr>
                              <a:xfrm>
                                <a:off x="4143375" y="3154045"/>
                                <a:ext cx="877570" cy="412750"/>
                              </a:xfrm>
                              <a:prstGeom prst="wedgeEllipseCallout">
                                <a:avLst>
                                  <a:gd name="adj1" fmla="val -126695"/>
                                  <a:gd name="adj2" fmla="val 49538"/>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txbx>
                              <w:txbxContent>
                                <w:p>
                                  <w:pPr>
                                    <w:rPr>
                                      <w:color w:val="0000FF"/>
                                    </w:rPr>
                                  </w:pPr>
                                  <w:r>
                                    <w:rPr>
                                      <w:rFonts w:hint="eastAsia"/>
                                      <w:color w:val="0000FF"/>
                                    </w:rPr>
                                    <w:t>本项目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241.65pt;margin-top:11.4pt;height:32.5pt;width:69.1pt;z-index:251698176;v-text-anchor:middle;mso-width-relative:page;mso-height-relative:page;" fillcolor="#FFFF00" filled="t" stroked="t" coordsize="21600,21600" o:gfxdata="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AMbNtg2AAAAAkBAAAPAAAAAAAAAAEAIAAAACIAAABkcnMv&#10;ZG93bnJldi54bWxQSwECFAAUAAAACACHTuJA1GL3gK4CAAAzBQAADgAAAAAAAAABACAAAAAnAQAA&#10;ZHJzL2Uyb0RvYy54bWxQSwUGAAAAAAYABgBZAQAARwYAAAAA&#10;" adj="-16566,21500">
                      <v:fill on="t" focussize="0,0"/>
                      <v:stroke weight="2pt" color="#385D8A [3204]" joinstyle="round"/>
                      <v:imagedata o:title=""/>
                      <o:lock v:ext="edit" aspectratio="f"/>
                      <v:textbox>
                        <w:txbxContent>
                          <w:p>
                            <w:pPr>
                              <w:rPr>
                                <w:color w:val="0000FF"/>
                              </w:rPr>
                            </w:pPr>
                            <w:r>
                              <w:rPr>
                                <w:rFonts w:hint="eastAsia"/>
                                <w:color w:val="0000FF"/>
                              </w:rPr>
                              <w:t>本项目</w:t>
                            </w:r>
                          </w:p>
                        </w:txbxContent>
                      </v:textbox>
                    </v:shape>
                  </w:pict>
                </mc:Fallback>
              </mc:AlternateContent>
            </w:r>
          </w:p>
          <w:p>
            <w:pPr>
              <w:jc w:val="center"/>
              <w:rPr>
                <w:b/>
                <w:bCs/>
                <w:sz w:val="24"/>
                <w:szCs w:val="24"/>
              </w:rPr>
            </w:pPr>
          </w:p>
          <w:p>
            <w:pPr>
              <w:pStyle w:val="58"/>
              <w:spacing w:line="360" w:lineRule="auto"/>
              <w:rPr>
                <w:rFonts w:ascii="Times New Roman" w:hAnsi="Times New Roman" w:eastAsia="宋体" w:cs="Times New Roman"/>
                <w:b/>
              </w:rPr>
            </w:pPr>
            <w:r>
              <w:rPr>
                <w:rFonts w:hint="eastAsia" w:ascii="Times New Roman" w:hAnsi="Times New Roman" w:eastAsia="宋体" w:cs="Times New Roman"/>
                <w:b/>
              </w:rPr>
              <w:t>图2  地表水监测点位示意图</w:t>
            </w:r>
          </w:p>
          <w:p>
            <w:pPr>
              <w:pStyle w:val="58"/>
              <w:spacing w:line="360" w:lineRule="auto"/>
              <w:rPr>
                <w:rFonts w:ascii="Times New Roman" w:hAnsi="Times New Roman" w:eastAsia="宋体" w:cs="Times New Roman"/>
                <w:b/>
              </w:rPr>
            </w:pPr>
            <w:r>
              <w:rPr>
                <w:rFonts w:hint="eastAsia" w:ascii="Times New Roman" w:hAnsi="Times New Roman" w:eastAsia="宋体" w:cs="Times New Roman"/>
                <w:b/>
              </w:rPr>
              <w:t>表14     地表水监测结果表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1704"/>
              <w:gridCol w:w="901"/>
              <w:gridCol w:w="1304"/>
              <w:gridCol w:w="1304"/>
              <w:gridCol w:w="1304"/>
              <w:gridCol w:w="130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14" w:type="pct"/>
                  <w:vMerge w:val="restart"/>
                  <w:tcBorders>
                    <w:tl2br w:val="nil"/>
                    <w:tr2bl w:val="nil"/>
                  </w:tcBorders>
                  <w:vAlign w:val="center"/>
                </w:tcPr>
                <w:p>
                  <w:pPr>
                    <w:jc w:val="center"/>
                    <w:rPr>
                      <w:szCs w:val="21"/>
                    </w:rPr>
                  </w:pPr>
                  <w:r>
                    <w:rPr>
                      <w:rFonts w:hint="eastAsia"/>
                      <w:szCs w:val="21"/>
                    </w:rPr>
                    <w:t>采样时间</w:t>
                  </w:r>
                </w:p>
              </w:tc>
              <w:tc>
                <w:tcPr>
                  <w:tcW w:w="934" w:type="pct"/>
                  <w:vMerge w:val="restart"/>
                  <w:tcBorders>
                    <w:tl2br w:val="nil"/>
                    <w:tr2bl w:val="nil"/>
                  </w:tcBorders>
                  <w:vAlign w:val="center"/>
                </w:tcPr>
                <w:p>
                  <w:pPr>
                    <w:jc w:val="center"/>
                    <w:rPr>
                      <w:szCs w:val="21"/>
                    </w:rPr>
                  </w:pPr>
                  <w:r>
                    <w:rPr>
                      <w:rFonts w:hint="eastAsia"/>
                      <w:szCs w:val="21"/>
                    </w:rPr>
                    <w:t>检测项目</w:t>
                  </w:r>
                </w:p>
              </w:tc>
              <w:tc>
                <w:tcPr>
                  <w:tcW w:w="1924" w:type="pct"/>
                  <w:gridSpan w:val="3"/>
                  <w:tcBorders>
                    <w:tl2br w:val="nil"/>
                    <w:tr2bl w:val="nil"/>
                  </w:tcBorders>
                  <w:vAlign w:val="center"/>
                </w:tcPr>
                <w:p>
                  <w:pPr>
                    <w:jc w:val="center"/>
                    <w:rPr>
                      <w:szCs w:val="21"/>
                    </w:rPr>
                  </w:pPr>
                  <w:r>
                    <w:rPr>
                      <w:rFonts w:hint="eastAsia"/>
                      <w:szCs w:val="21"/>
                    </w:rPr>
                    <w:t>监测结果</w:t>
                  </w:r>
                </w:p>
              </w:tc>
              <w:tc>
                <w:tcPr>
                  <w:tcW w:w="715" w:type="pct"/>
                  <w:vMerge w:val="restart"/>
                  <w:tcBorders>
                    <w:tl2br w:val="nil"/>
                    <w:tr2bl w:val="nil"/>
                  </w:tcBorders>
                  <w:vAlign w:val="center"/>
                </w:tcPr>
                <w:p>
                  <w:pPr>
                    <w:jc w:val="center"/>
                    <w:rPr>
                      <w:szCs w:val="21"/>
                    </w:rPr>
                  </w:pPr>
                  <w:r>
                    <w:rPr>
                      <w:rFonts w:hint="eastAsia"/>
                      <w:szCs w:val="21"/>
                    </w:rPr>
                    <w:t>标准值</w:t>
                  </w:r>
                </w:p>
              </w:tc>
              <w:tc>
                <w:tcPr>
                  <w:tcW w:w="713" w:type="pct"/>
                  <w:vMerge w:val="restart"/>
                  <w:tcBorders>
                    <w:tl2br w:val="nil"/>
                    <w:tr2bl w:val="nil"/>
                  </w:tcBorders>
                  <w:vAlign w:val="center"/>
                </w:tcPr>
                <w:p>
                  <w:pPr>
                    <w:jc w:val="center"/>
                    <w:rPr>
                      <w:szCs w:val="21"/>
                    </w:rPr>
                  </w:pPr>
                  <w:r>
                    <w:rPr>
                      <w:rFonts w:hint="eastAsia"/>
                      <w:szCs w:val="21"/>
                    </w:rPr>
                    <w:t>是否达标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14" w:type="pct"/>
                  <w:vMerge w:val="continue"/>
                  <w:tcBorders>
                    <w:tl2br w:val="nil"/>
                    <w:tr2bl w:val="nil"/>
                  </w:tcBorders>
                  <w:vAlign w:val="center"/>
                </w:tcPr>
                <w:p>
                  <w:pPr>
                    <w:jc w:val="center"/>
                    <w:rPr>
                      <w:szCs w:val="21"/>
                    </w:rPr>
                  </w:pPr>
                </w:p>
              </w:tc>
              <w:tc>
                <w:tcPr>
                  <w:tcW w:w="934" w:type="pct"/>
                  <w:vMerge w:val="continue"/>
                  <w:tcBorders>
                    <w:tl2br w:val="nil"/>
                    <w:tr2bl w:val="nil"/>
                  </w:tcBorders>
                  <w:vAlign w:val="center"/>
                </w:tcPr>
                <w:p>
                  <w:pPr>
                    <w:jc w:val="center"/>
                    <w:rPr>
                      <w:szCs w:val="21"/>
                    </w:rPr>
                  </w:pPr>
                </w:p>
              </w:tc>
              <w:tc>
                <w:tcPr>
                  <w:tcW w:w="494" w:type="pct"/>
                  <w:tcBorders>
                    <w:tl2br w:val="nil"/>
                    <w:tr2bl w:val="nil"/>
                  </w:tcBorders>
                  <w:vAlign w:val="center"/>
                </w:tcPr>
                <w:p>
                  <w:pPr>
                    <w:jc w:val="center"/>
                    <w:rPr>
                      <w:szCs w:val="21"/>
                    </w:rPr>
                  </w:pPr>
                  <w:r>
                    <w:rPr>
                      <w:rFonts w:hint="eastAsia"/>
                      <w:szCs w:val="21"/>
                    </w:rPr>
                    <w:t>1#</w:t>
                  </w:r>
                </w:p>
              </w:tc>
              <w:tc>
                <w:tcPr>
                  <w:tcW w:w="715" w:type="pct"/>
                  <w:tcBorders>
                    <w:tl2br w:val="nil"/>
                    <w:tr2bl w:val="nil"/>
                  </w:tcBorders>
                  <w:vAlign w:val="center"/>
                </w:tcPr>
                <w:p>
                  <w:pPr>
                    <w:jc w:val="center"/>
                    <w:rPr>
                      <w:szCs w:val="21"/>
                    </w:rPr>
                  </w:pPr>
                  <w:r>
                    <w:rPr>
                      <w:rFonts w:hint="eastAsia"/>
                      <w:szCs w:val="21"/>
                    </w:rPr>
                    <w:t>2#</w:t>
                  </w:r>
                </w:p>
              </w:tc>
              <w:tc>
                <w:tcPr>
                  <w:tcW w:w="715" w:type="pct"/>
                  <w:tcBorders>
                    <w:tl2br w:val="nil"/>
                    <w:tr2bl w:val="nil"/>
                  </w:tcBorders>
                  <w:vAlign w:val="center"/>
                </w:tcPr>
                <w:p>
                  <w:pPr>
                    <w:jc w:val="center"/>
                    <w:rPr>
                      <w:szCs w:val="21"/>
                    </w:rPr>
                  </w:pPr>
                  <w:r>
                    <w:rPr>
                      <w:rFonts w:hint="eastAsia"/>
                      <w:szCs w:val="21"/>
                    </w:rPr>
                    <w:t>3#</w:t>
                  </w:r>
                </w:p>
              </w:tc>
              <w:tc>
                <w:tcPr>
                  <w:tcW w:w="715" w:type="pct"/>
                  <w:vMerge w:val="continue"/>
                  <w:tcBorders>
                    <w:tl2br w:val="nil"/>
                    <w:tr2bl w:val="nil"/>
                  </w:tcBorders>
                  <w:vAlign w:val="center"/>
                </w:tcPr>
                <w:p>
                  <w:pPr>
                    <w:jc w:val="center"/>
                    <w:rPr>
                      <w:szCs w:val="21"/>
                    </w:rPr>
                  </w:pPr>
                </w:p>
              </w:tc>
              <w:tc>
                <w:tcPr>
                  <w:tcW w:w="713" w:type="pct"/>
                  <w:vMerge w:val="continue"/>
                  <w:tcBorders>
                    <w:tl2br w:val="nil"/>
                    <w:tr2bl w:val="nil"/>
                  </w:tcBorders>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14" w:type="pct"/>
                  <w:vMerge w:val="restart"/>
                  <w:tcBorders>
                    <w:tl2br w:val="nil"/>
                    <w:tr2bl w:val="nil"/>
                  </w:tcBorders>
                  <w:vAlign w:val="center"/>
                </w:tcPr>
                <w:p>
                  <w:pPr>
                    <w:jc w:val="center"/>
                    <w:rPr>
                      <w:szCs w:val="21"/>
                    </w:rPr>
                  </w:pPr>
                  <w:r>
                    <w:rPr>
                      <w:rFonts w:hint="eastAsia"/>
                      <w:szCs w:val="21"/>
                    </w:rPr>
                    <w:t>2018.11.12</w:t>
                  </w:r>
                </w:p>
              </w:tc>
              <w:tc>
                <w:tcPr>
                  <w:tcW w:w="934" w:type="pct"/>
                  <w:tcBorders>
                    <w:tl2br w:val="nil"/>
                    <w:tr2bl w:val="nil"/>
                  </w:tcBorders>
                  <w:vAlign w:val="center"/>
                </w:tcPr>
                <w:p>
                  <w:pPr>
                    <w:jc w:val="center"/>
                    <w:rPr>
                      <w:szCs w:val="21"/>
                    </w:rPr>
                  </w:pPr>
                  <w:r>
                    <w:rPr>
                      <w:rFonts w:hint="eastAsia"/>
                      <w:szCs w:val="21"/>
                    </w:rPr>
                    <w:t>pH（无量纲）</w:t>
                  </w:r>
                </w:p>
              </w:tc>
              <w:tc>
                <w:tcPr>
                  <w:tcW w:w="494" w:type="pct"/>
                  <w:tcBorders>
                    <w:tl2br w:val="nil"/>
                    <w:tr2bl w:val="nil"/>
                  </w:tcBorders>
                  <w:vAlign w:val="center"/>
                </w:tcPr>
                <w:p>
                  <w:pPr>
                    <w:jc w:val="center"/>
                    <w:rPr>
                      <w:szCs w:val="21"/>
                    </w:rPr>
                  </w:pPr>
                  <w:r>
                    <w:rPr>
                      <w:rFonts w:hint="eastAsia"/>
                      <w:szCs w:val="21"/>
                    </w:rPr>
                    <w:t>7.38</w:t>
                  </w:r>
                </w:p>
              </w:tc>
              <w:tc>
                <w:tcPr>
                  <w:tcW w:w="715" w:type="pct"/>
                  <w:tcBorders>
                    <w:tl2br w:val="nil"/>
                    <w:tr2bl w:val="nil"/>
                  </w:tcBorders>
                  <w:vAlign w:val="center"/>
                </w:tcPr>
                <w:p>
                  <w:pPr>
                    <w:jc w:val="center"/>
                    <w:rPr>
                      <w:szCs w:val="21"/>
                    </w:rPr>
                  </w:pPr>
                  <w:r>
                    <w:rPr>
                      <w:rFonts w:hint="eastAsia"/>
                      <w:szCs w:val="21"/>
                    </w:rPr>
                    <w:t>7.37</w:t>
                  </w:r>
                </w:p>
              </w:tc>
              <w:tc>
                <w:tcPr>
                  <w:tcW w:w="715" w:type="pct"/>
                  <w:tcBorders>
                    <w:tl2br w:val="nil"/>
                    <w:tr2bl w:val="nil"/>
                  </w:tcBorders>
                  <w:vAlign w:val="center"/>
                </w:tcPr>
                <w:p>
                  <w:pPr>
                    <w:jc w:val="center"/>
                    <w:rPr>
                      <w:szCs w:val="21"/>
                    </w:rPr>
                  </w:pPr>
                  <w:r>
                    <w:rPr>
                      <w:rFonts w:hint="eastAsia"/>
                      <w:szCs w:val="21"/>
                    </w:rPr>
                    <w:t>7.46</w:t>
                  </w:r>
                </w:p>
              </w:tc>
              <w:tc>
                <w:tcPr>
                  <w:tcW w:w="715" w:type="pct"/>
                  <w:tcBorders>
                    <w:tl2br w:val="nil"/>
                    <w:tr2bl w:val="nil"/>
                  </w:tcBorders>
                  <w:vAlign w:val="center"/>
                </w:tcPr>
                <w:p>
                  <w:pPr>
                    <w:jc w:val="center"/>
                    <w:rPr>
                      <w:szCs w:val="21"/>
                    </w:rPr>
                  </w:pPr>
                  <w:r>
                    <w:rPr>
                      <w:rFonts w:hint="eastAsia"/>
                      <w:szCs w:val="21"/>
                    </w:rPr>
                    <w:t>6-9</w:t>
                  </w:r>
                </w:p>
              </w:tc>
              <w:tc>
                <w:tcPr>
                  <w:tcW w:w="713"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14" w:type="pct"/>
                  <w:vMerge w:val="continue"/>
                  <w:tcBorders>
                    <w:tl2br w:val="nil"/>
                    <w:tr2bl w:val="nil"/>
                  </w:tcBorders>
                  <w:vAlign w:val="center"/>
                </w:tcPr>
                <w:p>
                  <w:pPr>
                    <w:jc w:val="center"/>
                    <w:rPr>
                      <w:szCs w:val="21"/>
                    </w:rPr>
                  </w:pPr>
                </w:p>
              </w:tc>
              <w:tc>
                <w:tcPr>
                  <w:tcW w:w="934" w:type="pct"/>
                  <w:tcBorders>
                    <w:tl2br w:val="nil"/>
                    <w:tr2bl w:val="nil"/>
                  </w:tcBorders>
                  <w:vAlign w:val="center"/>
                </w:tcPr>
                <w:p>
                  <w:pPr>
                    <w:jc w:val="center"/>
                    <w:rPr>
                      <w:szCs w:val="21"/>
                    </w:rPr>
                  </w:pPr>
                  <w:r>
                    <w:rPr>
                      <w:rFonts w:hint="eastAsia"/>
                      <w:szCs w:val="21"/>
                    </w:rPr>
                    <w:t>COD（mg/L）</w:t>
                  </w:r>
                </w:p>
              </w:tc>
              <w:tc>
                <w:tcPr>
                  <w:tcW w:w="494" w:type="pct"/>
                  <w:tcBorders>
                    <w:tl2br w:val="nil"/>
                    <w:tr2bl w:val="nil"/>
                  </w:tcBorders>
                  <w:vAlign w:val="center"/>
                </w:tcPr>
                <w:p>
                  <w:pPr>
                    <w:jc w:val="center"/>
                    <w:rPr>
                      <w:szCs w:val="21"/>
                    </w:rPr>
                  </w:pPr>
                  <w:r>
                    <w:rPr>
                      <w:rFonts w:hint="eastAsia"/>
                      <w:szCs w:val="21"/>
                    </w:rPr>
                    <w:t>11</w:t>
                  </w:r>
                </w:p>
              </w:tc>
              <w:tc>
                <w:tcPr>
                  <w:tcW w:w="715" w:type="pct"/>
                  <w:tcBorders>
                    <w:tl2br w:val="nil"/>
                    <w:tr2bl w:val="nil"/>
                  </w:tcBorders>
                  <w:vAlign w:val="center"/>
                </w:tcPr>
                <w:p>
                  <w:pPr>
                    <w:jc w:val="center"/>
                    <w:rPr>
                      <w:szCs w:val="21"/>
                    </w:rPr>
                  </w:pPr>
                  <w:r>
                    <w:rPr>
                      <w:rFonts w:hint="eastAsia"/>
                      <w:szCs w:val="21"/>
                    </w:rPr>
                    <w:t>14</w:t>
                  </w:r>
                </w:p>
              </w:tc>
              <w:tc>
                <w:tcPr>
                  <w:tcW w:w="715" w:type="pct"/>
                  <w:tcBorders>
                    <w:tl2br w:val="nil"/>
                    <w:tr2bl w:val="nil"/>
                  </w:tcBorders>
                  <w:vAlign w:val="center"/>
                </w:tcPr>
                <w:p>
                  <w:pPr>
                    <w:jc w:val="center"/>
                    <w:rPr>
                      <w:szCs w:val="21"/>
                    </w:rPr>
                  </w:pPr>
                  <w:r>
                    <w:rPr>
                      <w:rFonts w:hint="eastAsia"/>
                      <w:szCs w:val="21"/>
                    </w:rPr>
                    <w:t>9</w:t>
                  </w:r>
                </w:p>
              </w:tc>
              <w:tc>
                <w:tcPr>
                  <w:tcW w:w="715" w:type="pct"/>
                  <w:tcBorders>
                    <w:tl2br w:val="nil"/>
                    <w:tr2bl w:val="nil"/>
                  </w:tcBorders>
                  <w:vAlign w:val="center"/>
                </w:tcPr>
                <w:p>
                  <w:pPr>
                    <w:jc w:val="center"/>
                    <w:rPr>
                      <w:szCs w:val="21"/>
                    </w:rPr>
                  </w:pPr>
                  <w:r>
                    <w:rPr>
                      <w:rFonts w:hint="eastAsia"/>
                      <w:szCs w:val="21"/>
                    </w:rPr>
                    <w:t>20</w:t>
                  </w:r>
                </w:p>
              </w:tc>
              <w:tc>
                <w:tcPr>
                  <w:tcW w:w="713"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14" w:type="pct"/>
                  <w:vMerge w:val="continue"/>
                  <w:tcBorders>
                    <w:tl2br w:val="nil"/>
                    <w:tr2bl w:val="nil"/>
                  </w:tcBorders>
                  <w:vAlign w:val="center"/>
                </w:tcPr>
                <w:p>
                  <w:pPr>
                    <w:jc w:val="center"/>
                    <w:rPr>
                      <w:szCs w:val="21"/>
                    </w:rPr>
                  </w:pPr>
                </w:p>
              </w:tc>
              <w:tc>
                <w:tcPr>
                  <w:tcW w:w="934" w:type="pct"/>
                  <w:tcBorders>
                    <w:tl2br w:val="nil"/>
                    <w:tr2bl w:val="nil"/>
                  </w:tcBorders>
                  <w:vAlign w:val="center"/>
                </w:tcPr>
                <w:p>
                  <w:pPr>
                    <w:jc w:val="center"/>
                    <w:rPr>
                      <w:szCs w:val="21"/>
                    </w:rPr>
                  </w:pPr>
                  <w:r>
                    <w:rPr>
                      <w:rFonts w:hint="eastAsia"/>
                      <w:szCs w:val="21"/>
                    </w:rPr>
                    <w:t>氨氮（mg/L）</w:t>
                  </w:r>
                </w:p>
              </w:tc>
              <w:tc>
                <w:tcPr>
                  <w:tcW w:w="494" w:type="pct"/>
                  <w:tcBorders>
                    <w:tl2br w:val="nil"/>
                    <w:tr2bl w:val="nil"/>
                  </w:tcBorders>
                  <w:vAlign w:val="center"/>
                </w:tcPr>
                <w:p>
                  <w:pPr>
                    <w:jc w:val="center"/>
                    <w:rPr>
                      <w:szCs w:val="21"/>
                    </w:rPr>
                  </w:pPr>
                  <w:r>
                    <w:rPr>
                      <w:rFonts w:hint="eastAsia"/>
                      <w:szCs w:val="21"/>
                    </w:rPr>
                    <w:t>0.055</w:t>
                  </w:r>
                </w:p>
              </w:tc>
              <w:tc>
                <w:tcPr>
                  <w:tcW w:w="715" w:type="pct"/>
                  <w:tcBorders>
                    <w:tl2br w:val="nil"/>
                    <w:tr2bl w:val="nil"/>
                  </w:tcBorders>
                  <w:vAlign w:val="center"/>
                </w:tcPr>
                <w:p>
                  <w:pPr>
                    <w:jc w:val="center"/>
                    <w:rPr>
                      <w:szCs w:val="21"/>
                    </w:rPr>
                  </w:pPr>
                  <w:r>
                    <w:rPr>
                      <w:rFonts w:hint="eastAsia"/>
                      <w:szCs w:val="21"/>
                    </w:rPr>
                    <w:t>0.072</w:t>
                  </w:r>
                </w:p>
              </w:tc>
              <w:tc>
                <w:tcPr>
                  <w:tcW w:w="715" w:type="pct"/>
                  <w:tcBorders>
                    <w:tl2br w:val="nil"/>
                    <w:tr2bl w:val="nil"/>
                  </w:tcBorders>
                  <w:vAlign w:val="center"/>
                </w:tcPr>
                <w:p>
                  <w:pPr>
                    <w:jc w:val="center"/>
                    <w:rPr>
                      <w:szCs w:val="21"/>
                    </w:rPr>
                  </w:pPr>
                  <w:r>
                    <w:rPr>
                      <w:rFonts w:hint="eastAsia"/>
                      <w:szCs w:val="21"/>
                    </w:rPr>
                    <w:t>0.223</w:t>
                  </w:r>
                </w:p>
              </w:tc>
              <w:tc>
                <w:tcPr>
                  <w:tcW w:w="715" w:type="pct"/>
                  <w:tcBorders>
                    <w:tl2br w:val="nil"/>
                    <w:tr2bl w:val="nil"/>
                  </w:tcBorders>
                  <w:vAlign w:val="center"/>
                </w:tcPr>
                <w:p>
                  <w:pPr>
                    <w:jc w:val="center"/>
                    <w:rPr>
                      <w:szCs w:val="21"/>
                    </w:rPr>
                  </w:pPr>
                  <w:r>
                    <w:rPr>
                      <w:rFonts w:hint="eastAsia"/>
                      <w:szCs w:val="21"/>
                    </w:rPr>
                    <w:t>1.0</w:t>
                  </w:r>
                </w:p>
              </w:tc>
              <w:tc>
                <w:tcPr>
                  <w:tcW w:w="713" w:type="pct"/>
                  <w:tcBorders>
                    <w:tl2br w:val="nil"/>
                    <w:tr2bl w:val="nil"/>
                  </w:tcBorders>
                  <w:vAlign w:val="center"/>
                </w:tcPr>
                <w:p>
                  <w:pPr>
                    <w:jc w:val="center"/>
                    <w:rPr>
                      <w:szCs w:val="21"/>
                    </w:rPr>
                  </w:pPr>
                  <w:r>
                    <w:rPr>
                      <w:rFonts w:hint="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14" w:type="pct"/>
                  <w:vMerge w:val="continue"/>
                  <w:tcBorders>
                    <w:tl2br w:val="nil"/>
                    <w:tr2bl w:val="nil"/>
                  </w:tcBorders>
                  <w:vAlign w:val="center"/>
                </w:tcPr>
                <w:p>
                  <w:pPr>
                    <w:jc w:val="center"/>
                    <w:rPr>
                      <w:szCs w:val="21"/>
                    </w:rPr>
                  </w:pPr>
                </w:p>
              </w:tc>
              <w:tc>
                <w:tcPr>
                  <w:tcW w:w="934" w:type="pct"/>
                  <w:tcBorders>
                    <w:tl2br w:val="nil"/>
                    <w:tr2bl w:val="nil"/>
                  </w:tcBorders>
                  <w:vAlign w:val="center"/>
                </w:tcPr>
                <w:p>
                  <w:pPr>
                    <w:jc w:val="center"/>
                    <w:rPr>
                      <w:szCs w:val="21"/>
                    </w:rPr>
                  </w:pPr>
                  <w:r>
                    <w:rPr>
                      <w:rFonts w:hint="eastAsia"/>
                      <w:szCs w:val="21"/>
                    </w:rPr>
                    <w:t>BOD</w:t>
                  </w:r>
                  <w:r>
                    <w:rPr>
                      <w:rFonts w:hint="eastAsia"/>
                      <w:szCs w:val="21"/>
                      <w:vertAlign w:val="subscript"/>
                    </w:rPr>
                    <w:t>5</w:t>
                  </w:r>
                  <w:r>
                    <w:rPr>
                      <w:rFonts w:hint="eastAsia"/>
                      <w:szCs w:val="21"/>
                    </w:rPr>
                    <w:t>（mg/L）</w:t>
                  </w:r>
                </w:p>
              </w:tc>
              <w:tc>
                <w:tcPr>
                  <w:tcW w:w="494" w:type="pct"/>
                  <w:tcBorders>
                    <w:tl2br w:val="nil"/>
                    <w:tr2bl w:val="nil"/>
                  </w:tcBorders>
                  <w:vAlign w:val="center"/>
                </w:tcPr>
                <w:p>
                  <w:pPr>
                    <w:jc w:val="center"/>
                    <w:rPr>
                      <w:szCs w:val="21"/>
                    </w:rPr>
                  </w:pPr>
                  <w:r>
                    <w:rPr>
                      <w:rFonts w:hint="eastAsia"/>
                      <w:szCs w:val="21"/>
                    </w:rPr>
                    <w:t>2.1</w:t>
                  </w:r>
                </w:p>
              </w:tc>
              <w:tc>
                <w:tcPr>
                  <w:tcW w:w="715" w:type="pct"/>
                  <w:tcBorders>
                    <w:tl2br w:val="nil"/>
                    <w:tr2bl w:val="nil"/>
                  </w:tcBorders>
                  <w:vAlign w:val="center"/>
                </w:tcPr>
                <w:p>
                  <w:pPr>
                    <w:jc w:val="center"/>
                    <w:rPr>
                      <w:szCs w:val="21"/>
                    </w:rPr>
                  </w:pPr>
                  <w:r>
                    <w:rPr>
                      <w:rFonts w:hint="eastAsia"/>
                      <w:szCs w:val="21"/>
                    </w:rPr>
                    <w:t>2.8</w:t>
                  </w:r>
                </w:p>
              </w:tc>
              <w:tc>
                <w:tcPr>
                  <w:tcW w:w="715" w:type="pct"/>
                  <w:tcBorders>
                    <w:tl2br w:val="nil"/>
                    <w:tr2bl w:val="nil"/>
                  </w:tcBorders>
                  <w:vAlign w:val="center"/>
                </w:tcPr>
                <w:p>
                  <w:pPr>
                    <w:jc w:val="center"/>
                    <w:rPr>
                      <w:szCs w:val="21"/>
                    </w:rPr>
                  </w:pPr>
                  <w:r>
                    <w:rPr>
                      <w:rFonts w:hint="eastAsia"/>
                      <w:szCs w:val="21"/>
                    </w:rPr>
                    <w:t>1.8</w:t>
                  </w:r>
                </w:p>
              </w:tc>
              <w:tc>
                <w:tcPr>
                  <w:tcW w:w="715" w:type="pct"/>
                  <w:tcBorders>
                    <w:tl2br w:val="nil"/>
                    <w:tr2bl w:val="nil"/>
                  </w:tcBorders>
                  <w:vAlign w:val="center"/>
                </w:tcPr>
                <w:p>
                  <w:pPr>
                    <w:jc w:val="center"/>
                    <w:rPr>
                      <w:szCs w:val="21"/>
                    </w:rPr>
                  </w:pPr>
                  <w:r>
                    <w:rPr>
                      <w:rFonts w:hint="eastAsia"/>
                      <w:szCs w:val="21"/>
                    </w:rPr>
                    <w:t>4</w:t>
                  </w:r>
                </w:p>
              </w:tc>
              <w:tc>
                <w:tcPr>
                  <w:tcW w:w="713" w:type="pct"/>
                  <w:tcBorders>
                    <w:tl2br w:val="nil"/>
                    <w:tr2bl w:val="nil"/>
                  </w:tcBorders>
                  <w:vAlign w:val="center"/>
                </w:tcPr>
                <w:p>
                  <w:pPr>
                    <w:jc w:val="center"/>
                    <w:rPr>
                      <w:szCs w:val="21"/>
                    </w:rPr>
                  </w:pPr>
                  <w:r>
                    <w:rPr>
                      <w:rFonts w:hint="eastAsia"/>
                      <w:szCs w:val="21"/>
                    </w:rPr>
                    <w:t>达标</w:t>
                  </w:r>
                </w:p>
              </w:tc>
            </w:tr>
          </w:tbl>
          <w:p>
            <w:pPr>
              <w:adjustRightInd w:val="0"/>
              <w:snapToGrid w:val="0"/>
              <w:spacing w:line="360" w:lineRule="auto"/>
              <w:ind w:firstLine="560" w:firstLineChars="200"/>
              <w:rPr>
                <w:sz w:val="28"/>
                <w:szCs w:val="28"/>
              </w:rPr>
            </w:pPr>
            <w:r>
              <w:rPr>
                <w:rFonts w:hint="eastAsia"/>
                <w:sz w:val="28"/>
                <w:szCs w:val="28"/>
              </w:rPr>
              <w:t>三个监测断面各监测断面各项监测因子均满足规划的III类水质要求，松花江、黑龙江均满足《地表水环境质量标准》（GB3838-2002）中的III类标准。</w:t>
            </w:r>
          </w:p>
          <w:p>
            <w:pPr>
              <w:pStyle w:val="21"/>
              <w:spacing w:after="0" w:line="360" w:lineRule="auto"/>
              <w:ind w:firstLine="560" w:firstLineChars="200"/>
              <w:jc w:val="left"/>
              <w:rPr>
                <w:rFonts w:ascii="Times New Roman" w:hAnsi="Times New Roman" w:eastAsiaTheme="minorEastAsia"/>
                <w:b/>
                <w:sz w:val="28"/>
              </w:rPr>
            </w:pPr>
            <w:r>
              <w:rPr>
                <w:rFonts w:ascii="Times New Roman" w:hAnsi="Times New Roman" w:eastAsiaTheme="minorEastAsia"/>
                <w:b/>
                <w:sz w:val="28"/>
              </w:rPr>
              <w:t>3、地下水</w:t>
            </w:r>
          </w:p>
          <w:p>
            <w:pPr>
              <w:adjustRightInd w:val="0"/>
              <w:snapToGrid w:val="0"/>
              <w:spacing w:line="360" w:lineRule="auto"/>
              <w:ind w:firstLine="560" w:firstLineChars="200"/>
              <w:textAlignment w:val="center"/>
              <w:rPr>
                <w:rFonts w:ascii="Times New Roman" w:hAnsi="Times New Roman"/>
                <w:sz w:val="28"/>
                <w:szCs w:val="28"/>
              </w:rPr>
            </w:pPr>
            <w:r>
              <w:rPr>
                <w:rFonts w:ascii="Times New Roman" w:hAnsi="Times New Roman"/>
                <w:sz w:val="28"/>
                <w:szCs w:val="28"/>
              </w:rPr>
              <w:t>项目地下水环境质量现状监测由</w:t>
            </w:r>
            <w:r>
              <w:rPr>
                <w:rFonts w:hint="eastAsia" w:ascii="Times New Roman" w:hAnsi="Times New Roman"/>
                <w:sz w:val="28"/>
                <w:szCs w:val="28"/>
              </w:rPr>
              <w:t>哈尔滨捷通环境监测有限责任公司</w:t>
            </w:r>
            <w:r>
              <w:rPr>
                <w:rFonts w:ascii="Times New Roman" w:hAnsi="Times New Roman"/>
                <w:sz w:val="28"/>
                <w:szCs w:val="28"/>
              </w:rPr>
              <w:t>完成。</w:t>
            </w:r>
            <w:r>
              <w:rPr>
                <w:rFonts w:hint="eastAsia" w:ascii="Times New Roman" w:hAnsi="Times New Roman"/>
                <w:sz w:val="28"/>
                <w:szCs w:val="28"/>
              </w:rPr>
              <w:t>详见地下水环境影响专项评价。</w:t>
            </w:r>
          </w:p>
          <w:p>
            <w:pPr>
              <w:adjustRightInd w:val="0"/>
              <w:snapToGrid w:val="0"/>
              <w:spacing w:line="360" w:lineRule="auto"/>
              <w:ind w:firstLine="560" w:firstLineChars="200"/>
              <w:textAlignment w:val="center"/>
              <w:rPr>
                <w:rFonts w:ascii="宋体" w:hAnsi="宋体"/>
                <w:sz w:val="28"/>
                <w:szCs w:val="28"/>
              </w:rPr>
            </w:pPr>
            <w:r>
              <w:rPr>
                <w:rFonts w:ascii="宋体" w:hAnsi="宋体"/>
                <w:sz w:val="28"/>
                <w:szCs w:val="28"/>
              </w:rPr>
              <w:t>由地下水评价结果可知，</w:t>
            </w:r>
            <w:r>
              <w:rPr>
                <w:rFonts w:hint="eastAsia" w:ascii="宋体" w:hAnsi="宋体"/>
                <w:sz w:val="28"/>
                <w:szCs w:val="28"/>
              </w:rPr>
              <w:t>评价区内地下水水化学类型为HCO</w:t>
            </w:r>
            <w:r>
              <w:rPr>
                <w:rFonts w:hint="eastAsia" w:ascii="宋体" w:hAnsi="宋体"/>
                <w:sz w:val="28"/>
                <w:szCs w:val="28"/>
                <w:vertAlign w:val="subscript"/>
              </w:rPr>
              <w:t>3</w:t>
            </w:r>
            <w:r>
              <w:rPr>
                <w:rFonts w:hint="eastAsia" w:ascii="宋体" w:hAnsi="宋体"/>
                <w:sz w:val="28"/>
                <w:szCs w:val="28"/>
                <w:vertAlign w:val="superscript"/>
              </w:rPr>
              <w:t>-</w:t>
            </w:r>
            <w:r>
              <w:rPr>
                <w:rFonts w:hint="eastAsia" w:ascii="宋体" w:hAnsi="宋体"/>
                <w:sz w:val="28"/>
                <w:szCs w:val="28"/>
              </w:rPr>
              <w:t>-Ca</w:t>
            </w:r>
            <w:r>
              <w:rPr>
                <w:rFonts w:hint="eastAsia" w:ascii="宋体" w:hAnsi="宋体"/>
                <w:sz w:val="28"/>
                <w:szCs w:val="28"/>
                <w:vertAlign w:val="superscript"/>
              </w:rPr>
              <w:t>2+</w:t>
            </w:r>
            <w:r>
              <w:rPr>
                <w:rFonts w:hint="eastAsia" w:ascii="宋体" w:hAnsi="宋体"/>
                <w:sz w:val="28"/>
                <w:szCs w:val="28"/>
              </w:rPr>
              <w:t>型；地下水环境质量现状监测点位1#、2#和3#地下水环境质量现状监测浓度，除了铁超标（原生地质问题），</w:t>
            </w:r>
            <w:r>
              <w:rPr>
                <w:rFonts w:ascii="宋体" w:hAnsi="宋体"/>
                <w:sz w:val="28"/>
                <w:szCs w:val="28"/>
              </w:rPr>
              <w:t>均满足《地下水质量标准》（GB/T14848-2017）中</w:t>
            </w:r>
            <w:r>
              <w:rPr>
                <w:rFonts w:hint="eastAsia" w:ascii="宋体" w:hAnsi="宋体" w:cs="宋体"/>
                <w:sz w:val="28"/>
                <w:szCs w:val="28"/>
              </w:rPr>
              <w:t>Ⅲ</w:t>
            </w:r>
            <w:r>
              <w:rPr>
                <w:rFonts w:ascii="宋体" w:hAnsi="宋体"/>
                <w:sz w:val="28"/>
                <w:szCs w:val="28"/>
              </w:rPr>
              <w:t>类标准。</w:t>
            </w:r>
            <w:r>
              <w:rPr>
                <w:rFonts w:hint="eastAsia" w:ascii="宋体" w:hAnsi="宋体"/>
                <w:sz w:val="28"/>
                <w:szCs w:val="28"/>
              </w:rPr>
              <w:t>石油类满足《地表水环境质量标准》（GB3838-2002）Ⅲ类标准。</w:t>
            </w:r>
          </w:p>
          <w:p>
            <w:pPr>
              <w:pStyle w:val="21"/>
              <w:spacing w:after="0" w:line="360" w:lineRule="auto"/>
              <w:ind w:firstLine="560" w:firstLineChars="200"/>
              <w:jc w:val="left"/>
              <w:rPr>
                <w:rFonts w:ascii="Times New Roman" w:hAnsi="Times New Roman" w:eastAsiaTheme="minorEastAsia"/>
                <w:b/>
                <w:sz w:val="24"/>
              </w:rPr>
            </w:pPr>
            <w:r>
              <w:rPr>
                <w:rFonts w:ascii="Times New Roman" w:hAnsi="Times New Roman" w:eastAsiaTheme="minorEastAsia"/>
                <w:b/>
                <w:sz w:val="28"/>
              </w:rPr>
              <w:t>4、声环境</w:t>
            </w:r>
          </w:p>
          <w:p>
            <w:pPr>
              <w:pStyle w:val="21"/>
              <w:spacing w:after="0"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项目声环境质量现状监测由哈尔滨捷通环境监测有限责任公司完成。</w:t>
            </w:r>
          </w:p>
          <w:p>
            <w:pPr>
              <w:pStyle w:val="21"/>
              <w:spacing w:after="0" w:line="360" w:lineRule="auto"/>
              <w:ind w:firstLine="560" w:firstLineChars="200"/>
              <w:rPr>
                <w:rFonts w:ascii="Times New Roman" w:hAnsi="Times New Roman" w:eastAsiaTheme="minorEastAsia"/>
                <w:sz w:val="28"/>
              </w:rPr>
            </w:pPr>
            <w:r>
              <w:rPr>
                <w:rFonts w:ascii="Times New Roman" w:hAnsi="Times New Roman" w:eastAsiaTheme="minorEastAsia"/>
                <w:sz w:val="28"/>
              </w:rPr>
              <w:t>项目所在地点为区域噪声源主要为附近的公路噪声，根据现状监测报告可知，本项目东</w:t>
            </w:r>
            <w:r>
              <w:rPr>
                <w:rFonts w:hint="eastAsia" w:ascii="Times New Roman" w:hAnsi="Times New Roman" w:eastAsiaTheme="minorEastAsia"/>
                <w:sz w:val="28"/>
              </w:rPr>
              <w:t>南</w:t>
            </w:r>
            <w:r>
              <w:rPr>
                <w:rFonts w:ascii="Times New Roman" w:hAnsi="Times New Roman" w:eastAsiaTheme="minorEastAsia"/>
                <w:sz w:val="28"/>
              </w:rPr>
              <w:t>、</w:t>
            </w:r>
            <w:r>
              <w:rPr>
                <w:rFonts w:hint="eastAsia" w:ascii="Times New Roman" w:hAnsi="Times New Roman" w:eastAsiaTheme="minorEastAsia"/>
                <w:sz w:val="28"/>
              </w:rPr>
              <w:t>西南</w:t>
            </w:r>
            <w:r>
              <w:rPr>
                <w:rFonts w:ascii="Times New Roman" w:hAnsi="Times New Roman" w:eastAsiaTheme="minorEastAsia"/>
                <w:sz w:val="28"/>
              </w:rPr>
              <w:t>、</w:t>
            </w:r>
            <w:r>
              <w:rPr>
                <w:rFonts w:hint="eastAsia" w:ascii="Times New Roman" w:hAnsi="Times New Roman" w:eastAsiaTheme="minorEastAsia"/>
                <w:sz w:val="28"/>
              </w:rPr>
              <w:t>东北</w:t>
            </w:r>
            <w:r>
              <w:rPr>
                <w:rFonts w:ascii="Times New Roman" w:hAnsi="Times New Roman" w:eastAsiaTheme="minorEastAsia"/>
                <w:sz w:val="28"/>
              </w:rPr>
              <w:t>侧场界昼间环境噪声在</w:t>
            </w:r>
            <w:r>
              <w:rPr>
                <w:rFonts w:hint="eastAsia" w:ascii="Times New Roman" w:hAnsi="Times New Roman" w:eastAsiaTheme="minorEastAsia"/>
                <w:sz w:val="28"/>
              </w:rPr>
              <w:t>48.2</w:t>
            </w:r>
            <w:r>
              <w:rPr>
                <w:rFonts w:ascii="Times New Roman" w:hAnsi="Times New Roman" w:eastAsiaTheme="minorEastAsia"/>
                <w:sz w:val="28"/>
              </w:rPr>
              <w:t>-</w:t>
            </w:r>
            <w:r>
              <w:rPr>
                <w:rFonts w:hint="eastAsia" w:ascii="Times New Roman" w:hAnsi="Times New Roman" w:eastAsiaTheme="minorEastAsia"/>
                <w:sz w:val="28"/>
              </w:rPr>
              <w:t>49.3</w:t>
            </w:r>
            <w:r>
              <w:rPr>
                <w:rFonts w:ascii="Times New Roman" w:hAnsi="Times New Roman" w:eastAsiaTheme="minorEastAsia"/>
                <w:sz w:val="28"/>
              </w:rPr>
              <w:t xml:space="preserve"> dB(A)之间，夜间环境噪声在</w:t>
            </w:r>
            <w:r>
              <w:rPr>
                <w:rFonts w:hint="eastAsia" w:ascii="Times New Roman" w:hAnsi="Times New Roman" w:eastAsiaTheme="minorEastAsia"/>
                <w:sz w:val="28"/>
              </w:rPr>
              <w:t>38.2-40.1</w:t>
            </w:r>
            <w:r>
              <w:rPr>
                <w:rFonts w:ascii="Times New Roman" w:hAnsi="Times New Roman" w:eastAsiaTheme="minorEastAsia"/>
                <w:sz w:val="28"/>
              </w:rPr>
              <w:t>dB(A)之间，声环境质量良好，项目地点满足《声环境质量标准》（GB3096-2008）中</w:t>
            </w:r>
            <w:r>
              <w:rPr>
                <w:rFonts w:hint="eastAsia" w:ascii="Times New Roman" w:hAnsi="Times New Roman" w:eastAsiaTheme="minorEastAsia"/>
                <w:sz w:val="28"/>
              </w:rPr>
              <w:t>2类</w:t>
            </w:r>
            <w:r>
              <w:rPr>
                <w:rFonts w:ascii="Times New Roman" w:hAnsi="Times New Roman" w:eastAsiaTheme="minorEastAsia"/>
                <w:sz w:val="28"/>
              </w:rPr>
              <w:t>标准：昼间噪声≤60dB(A)</w:t>
            </w:r>
            <w:r>
              <w:rPr>
                <w:rFonts w:hint="eastAsia" w:ascii="Times New Roman" w:hAnsi="Times New Roman" w:eastAsiaTheme="minorEastAsia"/>
                <w:sz w:val="28"/>
              </w:rPr>
              <w:t>，</w:t>
            </w:r>
            <w:r>
              <w:rPr>
                <w:rFonts w:ascii="Times New Roman" w:hAnsi="Times New Roman" w:eastAsiaTheme="minorEastAsia"/>
                <w:sz w:val="28"/>
              </w:rPr>
              <w:t>夜间噪声≤50dB(A)。</w:t>
            </w:r>
          </w:p>
          <w:p>
            <w:pPr>
              <w:pStyle w:val="21"/>
              <w:spacing w:after="0"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西北侧厂</w:t>
            </w:r>
            <w:r>
              <w:rPr>
                <w:rFonts w:ascii="Times New Roman" w:hAnsi="Times New Roman" w:eastAsiaTheme="minorEastAsia"/>
                <w:sz w:val="28"/>
              </w:rPr>
              <w:t>界昼间环境噪声在</w:t>
            </w:r>
            <w:r>
              <w:rPr>
                <w:rFonts w:hint="eastAsia" w:ascii="Times New Roman" w:hAnsi="Times New Roman" w:eastAsiaTheme="minorEastAsia"/>
                <w:sz w:val="28"/>
              </w:rPr>
              <w:t>50.4</w:t>
            </w:r>
            <w:r>
              <w:rPr>
                <w:rFonts w:ascii="Times New Roman" w:hAnsi="Times New Roman" w:eastAsiaTheme="minorEastAsia"/>
                <w:sz w:val="28"/>
              </w:rPr>
              <w:t>-</w:t>
            </w:r>
            <w:r>
              <w:rPr>
                <w:rFonts w:hint="eastAsia" w:ascii="Times New Roman" w:hAnsi="Times New Roman" w:eastAsiaTheme="minorEastAsia"/>
                <w:sz w:val="28"/>
              </w:rPr>
              <w:t>51.6</w:t>
            </w:r>
            <w:r>
              <w:rPr>
                <w:rFonts w:ascii="Times New Roman" w:hAnsi="Times New Roman" w:eastAsiaTheme="minorEastAsia"/>
                <w:sz w:val="28"/>
              </w:rPr>
              <w:t xml:space="preserve"> dB(A)之间，夜间环境噪声在</w:t>
            </w:r>
            <w:r>
              <w:rPr>
                <w:rFonts w:hint="eastAsia" w:ascii="Times New Roman" w:hAnsi="Times New Roman" w:eastAsiaTheme="minorEastAsia"/>
                <w:sz w:val="28"/>
              </w:rPr>
              <w:t>40.5</w:t>
            </w:r>
            <w:r>
              <w:rPr>
                <w:rFonts w:ascii="Times New Roman" w:hAnsi="Times New Roman" w:eastAsiaTheme="minorEastAsia"/>
                <w:sz w:val="28"/>
              </w:rPr>
              <w:t>-</w:t>
            </w:r>
            <w:r>
              <w:rPr>
                <w:rFonts w:hint="eastAsia" w:ascii="Times New Roman" w:hAnsi="Times New Roman" w:eastAsiaTheme="minorEastAsia"/>
                <w:sz w:val="28"/>
              </w:rPr>
              <w:t>41.7</w:t>
            </w:r>
            <w:r>
              <w:rPr>
                <w:rFonts w:ascii="Times New Roman" w:hAnsi="Times New Roman" w:eastAsiaTheme="minorEastAsia"/>
                <w:sz w:val="28"/>
              </w:rPr>
              <w:t xml:space="preserve"> dB(A)之间，声环境质量良好，项目</w:t>
            </w:r>
            <w:r>
              <w:rPr>
                <w:rFonts w:hint="eastAsia" w:ascii="Times New Roman" w:hAnsi="Times New Roman" w:eastAsiaTheme="minorEastAsia"/>
                <w:sz w:val="28"/>
              </w:rPr>
              <w:t>西北侧厂界</w:t>
            </w:r>
            <w:r>
              <w:rPr>
                <w:rFonts w:ascii="Times New Roman" w:hAnsi="Times New Roman" w:eastAsiaTheme="minorEastAsia"/>
                <w:sz w:val="28"/>
              </w:rPr>
              <w:t>满足《声环境质量标准》（GB3096-2008）中4a类标准：昼间噪声≤70dB(A),夜间噪声≤55dB(A)。</w:t>
            </w:r>
          </w:p>
          <w:p>
            <w:pPr>
              <w:pStyle w:val="21"/>
              <w:spacing w:after="0" w:line="360" w:lineRule="auto"/>
              <w:ind w:firstLine="560" w:firstLineChars="200"/>
              <w:jc w:val="left"/>
              <w:rPr>
                <w:rFonts w:ascii="Times New Roman" w:hAnsi="Times New Roman" w:eastAsiaTheme="minorEastAsia"/>
                <w:b/>
                <w:sz w:val="28"/>
              </w:rPr>
            </w:pPr>
            <w:r>
              <w:rPr>
                <w:rFonts w:hint="eastAsia" w:ascii="Times New Roman" w:hAnsi="Times New Roman" w:eastAsiaTheme="minorEastAsia"/>
                <w:b/>
                <w:sz w:val="28"/>
              </w:rPr>
              <w:t>5、生态环境</w:t>
            </w:r>
          </w:p>
          <w:p>
            <w:pPr>
              <w:pStyle w:val="21"/>
              <w:spacing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项目拟建设场地现状为荒地，周边为耕地。</w:t>
            </w:r>
          </w:p>
          <w:p>
            <w:pPr>
              <w:pStyle w:val="21"/>
              <w:spacing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拟建设工程不涉及自然保护区、风景名胜区、世界文化和自然遗产地等特殊保护区，不涉及珍稀濒危野生动植物天然集中分布区。</w:t>
            </w:r>
          </w:p>
          <w:p>
            <w:pPr>
              <w:pStyle w:val="21"/>
              <w:spacing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1 野生动物现状调查及评价</w:t>
            </w:r>
          </w:p>
          <w:p>
            <w:pPr>
              <w:pStyle w:val="21"/>
              <w:spacing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项目区受人类活动影响很大，大型野生动物已不见。小型野生动物有蛇、田鼠等小型动物，鸟类主要有家燕、麻雀等。目前，评价区内没有发现濒危保护动物栖息环境，未发现受国家重点保护和珍稀野生动物和鸟类。</w:t>
            </w:r>
          </w:p>
          <w:p>
            <w:pPr>
              <w:pStyle w:val="21"/>
              <w:spacing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2 植物现状调查及评价</w:t>
            </w:r>
          </w:p>
          <w:p>
            <w:pPr>
              <w:pStyle w:val="21"/>
              <w:spacing w:after="0" w:line="360" w:lineRule="auto"/>
              <w:ind w:firstLine="560" w:firstLineChars="200"/>
              <w:rPr>
                <w:rFonts w:ascii="Times New Roman" w:hAnsi="Times New Roman" w:eastAsiaTheme="minorEastAsia"/>
                <w:sz w:val="28"/>
              </w:rPr>
            </w:pPr>
            <w:r>
              <w:rPr>
                <w:rFonts w:hint="eastAsia" w:ascii="Times New Roman" w:hAnsi="Times New Roman" w:eastAsiaTheme="minorEastAsia"/>
                <w:sz w:val="28"/>
              </w:rPr>
              <w:t>根据实地调查，项目所在区域植物种类较为单一，主要植被类型为杂草，项目周边尚未发现国家或地方级保护的珍稀植物。</w:t>
            </w: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p>
            <w:pPr>
              <w:pStyle w:val="21"/>
              <w:spacing w:after="0" w:line="360" w:lineRule="auto"/>
              <w:ind w:firstLine="560" w:firstLineChars="200"/>
              <w:rPr>
                <w:rFonts w:ascii="Times New Roman" w:hAnsi="Times New Roman" w:eastAsiaTheme="minorEastAsia"/>
                <w:sz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031" w:hRule="atLeast"/>
        </w:trPr>
        <w:tc>
          <w:tcPr>
            <w:tcW w:w="5000" w:type="pct"/>
          </w:tcPr>
          <w:p>
            <w:pPr>
              <w:pStyle w:val="42"/>
              <w:spacing w:line="360" w:lineRule="auto"/>
              <w:rPr>
                <w:rFonts w:eastAsiaTheme="minorEastAsia"/>
                <w:szCs w:val="24"/>
              </w:rPr>
            </w:pPr>
            <w:r>
              <w:rPr>
                <w:rFonts w:eastAsiaTheme="minorEastAsia"/>
                <w:szCs w:val="24"/>
              </w:rPr>
              <w:t>主要环境保护目标（列出名单及保护级别）：</w:t>
            </w:r>
          </w:p>
          <w:p>
            <w:pPr>
              <w:spacing w:line="360" w:lineRule="auto"/>
              <w:ind w:firstLine="560" w:firstLineChars="200"/>
              <w:rPr>
                <w:sz w:val="28"/>
                <w:szCs w:val="28"/>
              </w:rPr>
            </w:pPr>
            <w:r>
              <w:rPr>
                <w:sz w:val="28"/>
                <w:szCs w:val="28"/>
              </w:rPr>
              <w:t>本项目拟建设场地不在集中式饮用水水源准保护区；不在国家或地方政府设定的与地下水环境相关的其它保护区；不在集中式饮用水水源准保护区以外的补给径流区；不在未划定准保护区的集中水式饮用水水源，其保护区以外的补给径流区；无分散式饮用水水源地。本评价区无国家级、省、市级名胜古迹、自然保护区。根据本工程的特点，以保护项目所在区的环境空气质量、声环境质量</w:t>
            </w:r>
            <w:r>
              <w:rPr>
                <w:rFonts w:hint="eastAsia"/>
                <w:sz w:val="28"/>
                <w:szCs w:val="28"/>
              </w:rPr>
              <w:t>、地下水环境质量</w:t>
            </w:r>
            <w:r>
              <w:rPr>
                <w:sz w:val="28"/>
                <w:szCs w:val="28"/>
              </w:rPr>
              <w:t>等。</w:t>
            </w:r>
          </w:p>
          <w:p>
            <w:pPr>
              <w:pStyle w:val="21"/>
              <w:spacing w:after="0" w:line="360" w:lineRule="auto"/>
              <w:ind w:firstLine="560" w:firstLineChars="200"/>
              <w:jc w:val="left"/>
              <w:rPr>
                <w:rFonts w:ascii="Times New Roman" w:hAnsi="Times New Roman" w:eastAsiaTheme="minorEastAsia"/>
                <w:sz w:val="28"/>
              </w:rPr>
            </w:pPr>
            <w:r>
              <w:rPr>
                <w:rFonts w:hint="eastAsia" w:ascii="Times New Roman" w:hAnsi="Times New Roman" w:eastAsiaTheme="minorEastAsia"/>
                <w:sz w:val="28"/>
              </w:rPr>
              <w:t>主要环境保护目标见下表。</w:t>
            </w:r>
          </w:p>
          <w:p>
            <w:pPr>
              <w:pStyle w:val="58"/>
              <w:spacing w:line="360" w:lineRule="auto"/>
              <w:rPr>
                <w:rFonts w:ascii="Times New Roman" w:hAnsi="Times New Roman" w:eastAsia="宋体" w:cs="Times New Roman"/>
                <w:b/>
              </w:rPr>
            </w:pPr>
            <w:r>
              <w:rPr>
                <w:rFonts w:ascii="Times New Roman" w:hAnsi="Times New Roman" w:eastAsia="宋体" w:cs="Times New Roman"/>
                <w:b/>
              </w:rPr>
              <w:t>表1</w:t>
            </w:r>
            <w:r>
              <w:rPr>
                <w:rFonts w:hint="eastAsia" w:ascii="Times New Roman" w:hAnsi="Times New Roman" w:eastAsia="宋体" w:cs="Times New Roman"/>
                <w:b/>
              </w:rPr>
              <w:t>5</w:t>
            </w:r>
            <w:r>
              <w:rPr>
                <w:rFonts w:ascii="Times New Roman" w:hAnsi="Times New Roman" w:eastAsia="宋体" w:cs="Times New Roman"/>
                <w:b/>
              </w:rPr>
              <w:t xml:space="preserve">    环境保护目标（环境空气）</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1275"/>
              <w:gridCol w:w="1171"/>
              <w:gridCol w:w="960"/>
              <w:gridCol w:w="1233"/>
              <w:gridCol w:w="1316"/>
              <w:gridCol w:w="961"/>
              <w:gridCol w:w="135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5" w:type="pct"/>
                  <w:vMerge w:val="restart"/>
                  <w:shd w:val="clear" w:color="auto" w:fill="auto"/>
                  <w:vAlign w:val="center"/>
                </w:tcPr>
                <w:p>
                  <w:pPr>
                    <w:spacing w:line="300" w:lineRule="auto"/>
                    <w:jc w:val="center"/>
                    <w:rPr>
                      <w:rFonts w:ascii="Times New Roman" w:hAnsi="Times New Roman"/>
                      <w:kern w:val="0"/>
                      <w:sz w:val="22"/>
                    </w:rPr>
                  </w:pPr>
                  <w:r>
                    <w:rPr>
                      <w:rFonts w:ascii="Times New Roman" w:hAnsi="Times New Roman"/>
                      <w:kern w:val="0"/>
                      <w:sz w:val="22"/>
                    </w:rPr>
                    <w:t>名称</w:t>
                  </w:r>
                </w:p>
              </w:tc>
              <w:tc>
                <w:tcPr>
                  <w:tcW w:w="1341" w:type="pct"/>
                  <w:gridSpan w:val="2"/>
                  <w:shd w:val="clear" w:color="auto" w:fill="auto"/>
                  <w:vAlign w:val="center"/>
                </w:tcPr>
                <w:p>
                  <w:pPr>
                    <w:spacing w:line="300" w:lineRule="auto"/>
                    <w:jc w:val="center"/>
                    <w:rPr>
                      <w:rFonts w:ascii="Times New Roman" w:hAnsi="Times New Roman"/>
                      <w:kern w:val="0"/>
                      <w:sz w:val="22"/>
                    </w:rPr>
                  </w:pPr>
                  <w:r>
                    <w:rPr>
                      <w:rFonts w:ascii="Times New Roman" w:hAnsi="Times New Roman"/>
                      <w:kern w:val="0"/>
                      <w:sz w:val="22"/>
                    </w:rPr>
                    <w:t>坐标</w:t>
                  </w:r>
                </w:p>
              </w:tc>
              <w:tc>
                <w:tcPr>
                  <w:tcW w:w="526" w:type="pct"/>
                  <w:vMerge w:val="restart"/>
                  <w:shd w:val="clear" w:color="auto" w:fill="auto"/>
                  <w:vAlign w:val="center"/>
                </w:tcPr>
                <w:p>
                  <w:pPr>
                    <w:spacing w:line="300" w:lineRule="auto"/>
                    <w:jc w:val="center"/>
                    <w:rPr>
                      <w:rFonts w:ascii="Times New Roman" w:hAnsi="Times New Roman"/>
                      <w:kern w:val="0"/>
                      <w:sz w:val="22"/>
                    </w:rPr>
                  </w:pPr>
                  <w:r>
                    <w:rPr>
                      <w:rFonts w:ascii="Times New Roman" w:hAnsi="Times New Roman"/>
                      <w:kern w:val="0"/>
                      <w:sz w:val="22"/>
                    </w:rPr>
                    <w:t>保护</w:t>
                  </w:r>
                </w:p>
                <w:p>
                  <w:pPr>
                    <w:spacing w:line="300" w:lineRule="auto"/>
                    <w:jc w:val="center"/>
                    <w:rPr>
                      <w:rFonts w:ascii="Times New Roman" w:hAnsi="Times New Roman"/>
                      <w:kern w:val="0"/>
                      <w:sz w:val="22"/>
                    </w:rPr>
                  </w:pPr>
                  <w:r>
                    <w:rPr>
                      <w:rFonts w:ascii="Times New Roman" w:hAnsi="Times New Roman"/>
                      <w:kern w:val="0"/>
                      <w:sz w:val="22"/>
                    </w:rPr>
                    <w:t>对象</w:t>
                  </w:r>
                </w:p>
              </w:tc>
              <w:tc>
                <w:tcPr>
                  <w:tcW w:w="676" w:type="pct"/>
                  <w:vMerge w:val="restart"/>
                  <w:shd w:val="clear" w:color="auto" w:fill="auto"/>
                  <w:vAlign w:val="center"/>
                </w:tcPr>
                <w:p>
                  <w:pPr>
                    <w:spacing w:line="300" w:lineRule="auto"/>
                    <w:jc w:val="center"/>
                    <w:rPr>
                      <w:rFonts w:ascii="Times New Roman" w:hAnsi="Times New Roman"/>
                      <w:kern w:val="0"/>
                      <w:sz w:val="22"/>
                    </w:rPr>
                  </w:pPr>
                  <w:r>
                    <w:rPr>
                      <w:rFonts w:ascii="Times New Roman" w:hAnsi="Times New Roman"/>
                      <w:kern w:val="0"/>
                      <w:sz w:val="22"/>
                    </w:rPr>
                    <w:t>保护</w:t>
                  </w:r>
                </w:p>
                <w:p>
                  <w:pPr>
                    <w:spacing w:line="300" w:lineRule="auto"/>
                    <w:jc w:val="center"/>
                    <w:rPr>
                      <w:rFonts w:ascii="Times New Roman" w:hAnsi="Times New Roman"/>
                      <w:kern w:val="0"/>
                      <w:sz w:val="22"/>
                    </w:rPr>
                  </w:pPr>
                  <w:r>
                    <w:rPr>
                      <w:rFonts w:ascii="Times New Roman" w:hAnsi="Times New Roman"/>
                      <w:kern w:val="0"/>
                      <w:sz w:val="22"/>
                    </w:rPr>
                    <w:t>内容</w:t>
                  </w:r>
                </w:p>
              </w:tc>
              <w:tc>
                <w:tcPr>
                  <w:tcW w:w="721" w:type="pct"/>
                  <w:vMerge w:val="restart"/>
                  <w:shd w:val="clear" w:color="auto" w:fill="auto"/>
                  <w:vAlign w:val="center"/>
                </w:tcPr>
                <w:p>
                  <w:pPr>
                    <w:spacing w:line="300" w:lineRule="auto"/>
                    <w:jc w:val="center"/>
                    <w:rPr>
                      <w:rFonts w:ascii="Times New Roman" w:hAnsi="Times New Roman"/>
                      <w:kern w:val="0"/>
                      <w:sz w:val="22"/>
                    </w:rPr>
                  </w:pPr>
                  <w:r>
                    <w:rPr>
                      <w:rFonts w:ascii="Times New Roman" w:hAnsi="Times New Roman"/>
                      <w:kern w:val="0"/>
                      <w:sz w:val="22"/>
                    </w:rPr>
                    <w:t>环境功能区</w:t>
                  </w:r>
                </w:p>
              </w:tc>
              <w:tc>
                <w:tcPr>
                  <w:tcW w:w="527" w:type="pct"/>
                  <w:vMerge w:val="restart"/>
                  <w:shd w:val="clear" w:color="auto" w:fill="auto"/>
                  <w:vAlign w:val="center"/>
                </w:tcPr>
                <w:p>
                  <w:pPr>
                    <w:spacing w:line="300" w:lineRule="auto"/>
                    <w:jc w:val="center"/>
                    <w:rPr>
                      <w:rFonts w:ascii="Times New Roman" w:hAnsi="Times New Roman"/>
                      <w:kern w:val="0"/>
                      <w:sz w:val="22"/>
                    </w:rPr>
                  </w:pPr>
                  <w:r>
                    <w:rPr>
                      <w:rFonts w:ascii="Times New Roman" w:hAnsi="Times New Roman"/>
                      <w:kern w:val="0"/>
                      <w:sz w:val="22"/>
                    </w:rPr>
                    <w:t>相对厂址方位</w:t>
                  </w:r>
                </w:p>
              </w:tc>
              <w:tc>
                <w:tcPr>
                  <w:tcW w:w="744" w:type="pct"/>
                  <w:vMerge w:val="restart"/>
                  <w:vAlign w:val="center"/>
                </w:tcPr>
                <w:p>
                  <w:pPr>
                    <w:spacing w:line="300" w:lineRule="auto"/>
                    <w:jc w:val="center"/>
                    <w:rPr>
                      <w:rFonts w:ascii="Times New Roman" w:hAnsi="Times New Roman"/>
                      <w:kern w:val="0"/>
                      <w:sz w:val="22"/>
                    </w:rPr>
                  </w:pPr>
                  <w:r>
                    <w:rPr>
                      <w:rFonts w:ascii="Times New Roman" w:hAnsi="Times New Roman"/>
                      <w:kern w:val="0"/>
                      <w:sz w:val="22"/>
                    </w:rPr>
                    <w:t>相对厂界距离/m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5" w:type="pct"/>
                  <w:vMerge w:val="continue"/>
                  <w:vAlign w:val="center"/>
                </w:tcPr>
                <w:p>
                  <w:pPr>
                    <w:spacing w:line="300" w:lineRule="auto"/>
                    <w:jc w:val="center"/>
                    <w:rPr>
                      <w:rFonts w:ascii="Times New Roman" w:hAnsi="Times New Roman"/>
                      <w:kern w:val="0"/>
                      <w:sz w:val="22"/>
                    </w:rPr>
                  </w:pPr>
                </w:p>
              </w:tc>
              <w:tc>
                <w:tcPr>
                  <w:tcW w:w="699" w:type="pct"/>
                  <w:shd w:val="clear" w:color="auto" w:fill="auto"/>
                  <w:vAlign w:val="center"/>
                </w:tcPr>
                <w:p>
                  <w:pPr>
                    <w:spacing w:line="300" w:lineRule="auto"/>
                    <w:jc w:val="center"/>
                    <w:rPr>
                      <w:rFonts w:ascii="Times New Roman" w:hAnsi="Times New Roman"/>
                      <w:kern w:val="0"/>
                      <w:sz w:val="22"/>
                    </w:rPr>
                  </w:pPr>
                  <w:r>
                    <w:rPr>
                      <w:rFonts w:hint="eastAsia" w:ascii="Times New Roman" w:hAnsi="Times New Roman"/>
                      <w:kern w:val="0"/>
                      <w:sz w:val="22"/>
                    </w:rPr>
                    <w:t>东经</w:t>
                  </w:r>
                </w:p>
              </w:tc>
              <w:tc>
                <w:tcPr>
                  <w:tcW w:w="642" w:type="pct"/>
                  <w:shd w:val="clear" w:color="auto" w:fill="auto"/>
                  <w:vAlign w:val="center"/>
                </w:tcPr>
                <w:p>
                  <w:pPr>
                    <w:spacing w:line="300" w:lineRule="auto"/>
                    <w:jc w:val="center"/>
                    <w:rPr>
                      <w:rFonts w:ascii="Times New Roman" w:hAnsi="Times New Roman"/>
                      <w:kern w:val="0"/>
                      <w:sz w:val="22"/>
                    </w:rPr>
                  </w:pPr>
                  <w:r>
                    <w:rPr>
                      <w:rFonts w:hint="eastAsia" w:ascii="Times New Roman" w:hAnsi="Times New Roman"/>
                      <w:kern w:val="0"/>
                      <w:sz w:val="22"/>
                    </w:rPr>
                    <w:t>北纬</w:t>
                  </w:r>
                </w:p>
              </w:tc>
              <w:tc>
                <w:tcPr>
                  <w:tcW w:w="526" w:type="pct"/>
                  <w:vMerge w:val="continue"/>
                  <w:vAlign w:val="center"/>
                </w:tcPr>
                <w:p>
                  <w:pPr>
                    <w:spacing w:line="300" w:lineRule="auto"/>
                    <w:jc w:val="center"/>
                    <w:rPr>
                      <w:rFonts w:ascii="Times New Roman" w:hAnsi="Times New Roman"/>
                      <w:kern w:val="0"/>
                      <w:sz w:val="22"/>
                    </w:rPr>
                  </w:pPr>
                </w:p>
              </w:tc>
              <w:tc>
                <w:tcPr>
                  <w:tcW w:w="676" w:type="pct"/>
                  <w:vMerge w:val="continue"/>
                  <w:vAlign w:val="center"/>
                </w:tcPr>
                <w:p>
                  <w:pPr>
                    <w:spacing w:line="300" w:lineRule="auto"/>
                    <w:jc w:val="center"/>
                    <w:rPr>
                      <w:rFonts w:ascii="Times New Roman" w:hAnsi="Times New Roman"/>
                      <w:kern w:val="0"/>
                      <w:sz w:val="22"/>
                    </w:rPr>
                  </w:pPr>
                </w:p>
              </w:tc>
              <w:tc>
                <w:tcPr>
                  <w:tcW w:w="721" w:type="pct"/>
                  <w:vMerge w:val="continue"/>
                  <w:vAlign w:val="center"/>
                </w:tcPr>
                <w:p>
                  <w:pPr>
                    <w:spacing w:line="300" w:lineRule="auto"/>
                    <w:jc w:val="center"/>
                    <w:rPr>
                      <w:rFonts w:ascii="Times New Roman" w:hAnsi="Times New Roman"/>
                      <w:kern w:val="0"/>
                      <w:sz w:val="22"/>
                    </w:rPr>
                  </w:pPr>
                </w:p>
              </w:tc>
              <w:tc>
                <w:tcPr>
                  <w:tcW w:w="527" w:type="pct"/>
                  <w:vMerge w:val="continue"/>
                  <w:vAlign w:val="center"/>
                </w:tcPr>
                <w:p>
                  <w:pPr>
                    <w:spacing w:line="300" w:lineRule="auto"/>
                    <w:jc w:val="center"/>
                    <w:rPr>
                      <w:rFonts w:ascii="Times New Roman" w:hAnsi="Times New Roman"/>
                      <w:kern w:val="0"/>
                      <w:sz w:val="22"/>
                    </w:rPr>
                  </w:pPr>
                </w:p>
              </w:tc>
              <w:tc>
                <w:tcPr>
                  <w:tcW w:w="744" w:type="pct"/>
                  <w:vMerge w:val="continue"/>
                  <w:vAlign w:val="center"/>
                </w:tcPr>
                <w:p>
                  <w:pPr>
                    <w:spacing w:line="300" w:lineRule="auto"/>
                    <w:jc w:val="center"/>
                    <w:rPr>
                      <w:rFonts w:ascii="Times New Roman" w:hAnsi="Times New Roman"/>
                      <w:kern w:val="0"/>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5" w:type="pct"/>
                  <w:shd w:val="clear" w:color="auto" w:fill="auto"/>
                  <w:noWrap/>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三村镇</w:t>
                  </w:r>
                </w:p>
              </w:tc>
              <w:tc>
                <w:tcPr>
                  <w:tcW w:w="699" w:type="pct"/>
                  <w:shd w:val="clear" w:color="auto" w:fill="auto"/>
                  <w:noWrap/>
                  <w:vAlign w:val="center"/>
                </w:tcPr>
                <w:p>
                  <w:pPr>
                    <w:spacing w:line="300" w:lineRule="auto"/>
                    <w:jc w:val="center"/>
                    <w:rPr>
                      <w:rFonts w:ascii="Times New Roman" w:hAnsi="Times New Roman"/>
                      <w:kern w:val="0"/>
                      <w:sz w:val="22"/>
                    </w:rPr>
                  </w:pPr>
                  <w:r>
                    <w:rPr>
                      <w:rFonts w:ascii="Times New Roman" w:hAnsi="Times New Roman"/>
                      <w:kern w:val="0"/>
                      <w:sz w:val="22"/>
                    </w:rPr>
                    <w:t>132.637811</w:t>
                  </w:r>
                </w:p>
              </w:tc>
              <w:tc>
                <w:tcPr>
                  <w:tcW w:w="642" w:type="pct"/>
                  <w:shd w:val="clear" w:color="auto" w:fill="auto"/>
                  <w:noWrap/>
                  <w:vAlign w:val="center"/>
                </w:tcPr>
                <w:p>
                  <w:pPr>
                    <w:spacing w:line="300" w:lineRule="auto"/>
                    <w:jc w:val="center"/>
                    <w:rPr>
                      <w:rFonts w:ascii="Times New Roman" w:hAnsi="Times New Roman"/>
                      <w:kern w:val="0"/>
                      <w:sz w:val="22"/>
                    </w:rPr>
                  </w:pPr>
                  <w:r>
                    <w:rPr>
                      <w:rFonts w:ascii="Times New Roman" w:hAnsi="Times New Roman"/>
                      <w:kern w:val="0"/>
                      <w:sz w:val="22"/>
                    </w:rPr>
                    <w:t>47.752223</w:t>
                  </w:r>
                </w:p>
              </w:tc>
              <w:tc>
                <w:tcPr>
                  <w:tcW w:w="526" w:type="pct"/>
                  <w:shd w:val="clear" w:color="auto" w:fill="auto"/>
                  <w:noWrap/>
                  <w:vAlign w:val="center"/>
                </w:tcPr>
                <w:p>
                  <w:pPr>
                    <w:spacing w:line="300" w:lineRule="auto"/>
                    <w:jc w:val="center"/>
                    <w:rPr>
                      <w:rFonts w:ascii="Times New Roman" w:hAnsi="Times New Roman"/>
                      <w:kern w:val="0"/>
                      <w:sz w:val="22"/>
                    </w:rPr>
                  </w:pPr>
                  <w:r>
                    <w:rPr>
                      <w:rFonts w:ascii="Times New Roman" w:hAnsi="Times New Roman"/>
                      <w:kern w:val="0"/>
                      <w:sz w:val="22"/>
                    </w:rPr>
                    <w:t>居民</w:t>
                  </w:r>
                  <w:r>
                    <w:rPr>
                      <w:rFonts w:hint="eastAsia" w:ascii="Times New Roman" w:hAnsi="Times New Roman"/>
                      <w:kern w:val="0"/>
                      <w:sz w:val="22"/>
                    </w:rPr>
                    <w:t>区</w:t>
                  </w:r>
                </w:p>
              </w:tc>
              <w:tc>
                <w:tcPr>
                  <w:tcW w:w="676" w:type="pct"/>
                  <w:shd w:val="clear" w:color="auto" w:fill="auto"/>
                  <w:noWrap/>
                  <w:vAlign w:val="center"/>
                </w:tcPr>
                <w:p>
                  <w:pPr>
                    <w:spacing w:line="300" w:lineRule="auto"/>
                    <w:jc w:val="center"/>
                    <w:rPr>
                      <w:rFonts w:ascii="Times New Roman" w:hAnsi="Times New Roman"/>
                      <w:kern w:val="0"/>
                      <w:sz w:val="22"/>
                    </w:rPr>
                  </w:pPr>
                  <w:r>
                    <w:rPr>
                      <w:rFonts w:hint="eastAsia" w:ascii="Times New Roman" w:hAnsi="Times New Roman"/>
                      <w:kern w:val="0"/>
                      <w:sz w:val="22"/>
                    </w:rPr>
                    <w:t>人群</w:t>
                  </w:r>
                </w:p>
              </w:tc>
              <w:tc>
                <w:tcPr>
                  <w:tcW w:w="721" w:type="pct"/>
                  <w:shd w:val="clear" w:color="auto" w:fill="auto"/>
                  <w:noWrap/>
                  <w:vAlign w:val="center"/>
                </w:tcPr>
                <w:p>
                  <w:pPr>
                    <w:spacing w:line="300" w:lineRule="auto"/>
                    <w:jc w:val="center"/>
                    <w:rPr>
                      <w:rFonts w:ascii="Times New Roman" w:hAnsi="Times New Roman"/>
                      <w:kern w:val="0"/>
                      <w:sz w:val="22"/>
                    </w:rPr>
                  </w:pPr>
                  <w:r>
                    <w:rPr>
                      <w:rFonts w:ascii="Times New Roman" w:hAnsi="Times New Roman"/>
                      <w:kern w:val="0"/>
                      <w:sz w:val="22"/>
                    </w:rPr>
                    <w:t>二类功能区</w:t>
                  </w:r>
                </w:p>
              </w:tc>
              <w:tc>
                <w:tcPr>
                  <w:tcW w:w="527" w:type="pct"/>
                  <w:shd w:val="clear" w:color="auto" w:fill="auto"/>
                  <w:noWrap/>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NNE</w:t>
                  </w:r>
                </w:p>
              </w:tc>
              <w:tc>
                <w:tcPr>
                  <w:tcW w:w="744"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1243</w:t>
                  </w:r>
                </w:p>
              </w:tc>
            </w:tr>
          </w:tbl>
          <w:p>
            <w:pPr>
              <w:pStyle w:val="58"/>
              <w:spacing w:line="360" w:lineRule="auto"/>
              <w:rPr>
                <w:rFonts w:ascii="Times New Roman" w:hAnsi="Times New Roman" w:eastAsia="宋体" w:cs="Times New Roman"/>
                <w:b/>
              </w:rPr>
            </w:pPr>
            <w:r>
              <w:rPr>
                <w:rFonts w:ascii="Times New Roman" w:hAnsi="Times New Roman" w:eastAsia="宋体" w:cs="Times New Roman"/>
                <w:b/>
              </w:rPr>
              <w:t>表</w:t>
            </w:r>
            <w:r>
              <w:rPr>
                <w:rFonts w:hint="eastAsia" w:ascii="Times New Roman" w:hAnsi="Times New Roman" w:eastAsia="宋体" w:cs="Times New Roman"/>
                <w:b/>
              </w:rPr>
              <w:t xml:space="preserve">16 </w:t>
            </w:r>
            <w:r>
              <w:rPr>
                <w:rFonts w:ascii="Times New Roman" w:hAnsi="Times New Roman" w:eastAsia="宋体" w:cs="Times New Roman"/>
                <w:b/>
              </w:rPr>
              <w:t xml:space="preserve">  环境保护目标（声环境、地下水环境）</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2290"/>
              <w:gridCol w:w="1027"/>
              <w:gridCol w:w="1498"/>
              <w:gridCol w:w="1379"/>
              <w:gridCol w:w="17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环境要素</w:t>
                  </w:r>
                </w:p>
              </w:tc>
              <w:tc>
                <w:tcPr>
                  <w:tcW w:w="1256"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敏感保护目标</w:t>
                  </w:r>
                </w:p>
              </w:tc>
              <w:tc>
                <w:tcPr>
                  <w:tcW w:w="563"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方位</w:t>
                  </w:r>
                </w:p>
              </w:tc>
              <w:tc>
                <w:tcPr>
                  <w:tcW w:w="821"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目标边界与厂址边界距离(m)</w:t>
                  </w:r>
                </w:p>
              </w:tc>
              <w:tc>
                <w:tcPr>
                  <w:tcW w:w="756"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规模</w:t>
                  </w:r>
                </w:p>
              </w:tc>
              <w:tc>
                <w:tcPr>
                  <w:tcW w:w="936"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环境功能</w:t>
                  </w:r>
                </w:p>
                <w:p>
                  <w:pPr>
                    <w:spacing w:line="300" w:lineRule="auto"/>
                    <w:jc w:val="center"/>
                    <w:rPr>
                      <w:rFonts w:ascii="Times New Roman" w:hAnsi="Times New Roman" w:eastAsiaTheme="minorEastAsia"/>
                      <w:szCs w:val="21"/>
                    </w:rPr>
                  </w:pPr>
                  <w:r>
                    <w:rPr>
                      <w:rFonts w:ascii="Times New Roman" w:hAnsi="Times New Roman" w:eastAsiaTheme="minorEastAsia"/>
                      <w:szCs w:val="21"/>
                    </w:rPr>
                    <w:t>区域目标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声环境</w:t>
                  </w:r>
                </w:p>
              </w:tc>
              <w:tc>
                <w:tcPr>
                  <w:tcW w:w="1256"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项目厂界外1-200m内的声环境质量</w:t>
                  </w:r>
                </w:p>
              </w:tc>
              <w:tc>
                <w:tcPr>
                  <w:tcW w:w="563"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周边</w:t>
                  </w:r>
                </w:p>
              </w:tc>
              <w:tc>
                <w:tcPr>
                  <w:tcW w:w="821"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w:t>
                  </w:r>
                </w:p>
              </w:tc>
              <w:tc>
                <w:tcPr>
                  <w:tcW w:w="756"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w:t>
                  </w:r>
                </w:p>
              </w:tc>
              <w:tc>
                <w:tcPr>
                  <w:tcW w:w="936"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GB3096-2008</w:t>
                  </w:r>
                  <w:r>
                    <w:rPr>
                      <w:rFonts w:hint="eastAsia" w:ascii="Times New Roman" w:hAnsi="Times New Roman" w:eastAsiaTheme="minorEastAsia"/>
                      <w:szCs w:val="21"/>
                    </w:rPr>
                    <w:t xml:space="preserve"> </w:t>
                  </w:r>
                </w:p>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2类</w:t>
                  </w:r>
                  <w:r>
                    <w:rPr>
                      <w:rFonts w:ascii="Times New Roman" w:hAnsi="Times New Roman" w:eastAsiaTheme="minorEastAsia"/>
                      <w:szCs w:val="21"/>
                    </w:rPr>
                    <w:t>4a类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地下水</w:t>
                  </w:r>
                </w:p>
                <w:p>
                  <w:pPr>
                    <w:spacing w:line="300" w:lineRule="auto"/>
                    <w:jc w:val="center"/>
                    <w:rPr>
                      <w:rFonts w:ascii="Times New Roman" w:hAnsi="Times New Roman" w:eastAsiaTheme="minorEastAsia"/>
                      <w:szCs w:val="21"/>
                    </w:rPr>
                  </w:pPr>
                  <w:r>
                    <w:rPr>
                      <w:rFonts w:ascii="Times New Roman" w:hAnsi="Times New Roman" w:eastAsiaTheme="minorEastAsia"/>
                      <w:szCs w:val="21"/>
                    </w:rPr>
                    <w:t>环境</w:t>
                  </w:r>
                </w:p>
              </w:tc>
              <w:tc>
                <w:tcPr>
                  <w:tcW w:w="1256"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评价区域地下水环境</w:t>
                  </w:r>
                </w:p>
              </w:tc>
              <w:tc>
                <w:tcPr>
                  <w:tcW w:w="563"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w:t>
                  </w:r>
                </w:p>
              </w:tc>
              <w:tc>
                <w:tcPr>
                  <w:tcW w:w="821"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w:t>
                  </w:r>
                </w:p>
              </w:tc>
              <w:tc>
                <w:tcPr>
                  <w:tcW w:w="756"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w:t>
                  </w:r>
                </w:p>
              </w:tc>
              <w:tc>
                <w:tcPr>
                  <w:tcW w:w="936"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GB/T14848-2017 III类</w:t>
                  </w:r>
                </w:p>
              </w:tc>
            </w:tr>
          </w:tbl>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tc>
      </w:tr>
    </w:tbl>
    <w:p>
      <w:pPr>
        <w:sectPr>
          <w:footerReference r:id="rId5" w:type="first"/>
          <w:footerReference r:id="rId4" w:type="default"/>
          <w:pgSz w:w="11906" w:h="16838"/>
          <w:pgMar w:top="1304" w:right="1196" w:bottom="1304" w:left="1588" w:header="851" w:footer="992" w:gutter="0"/>
          <w:pgNumType w:start="1"/>
          <w:cols w:space="720" w:num="1"/>
          <w:titlePg/>
          <w:docGrid w:type="linesAndChars" w:linePitch="312" w:charSpace="0"/>
        </w:sectPr>
      </w:pPr>
      <w:bookmarkStart w:id="3" w:name="_Toc536626590"/>
    </w:p>
    <w:p>
      <w:pPr>
        <w:pageBreakBefore/>
        <w:spacing w:line="240" w:lineRule="atLeast"/>
        <w:outlineLvl w:val="0"/>
        <w:rPr>
          <w:rFonts w:ascii="Times New Roman" w:hAnsi="Times New Roman" w:eastAsiaTheme="minorEastAsia"/>
          <w:b/>
          <w:bCs/>
          <w:kern w:val="18"/>
          <w:sz w:val="32"/>
          <w:szCs w:val="28"/>
        </w:rPr>
      </w:pPr>
      <w:r>
        <w:rPr>
          <w:rFonts w:ascii="Times New Roman" w:hAnsi="Times New Roman" w:eastAsiaTheme="minorEastAsia"/>
          <w:b/>
          <w:bCs/>
          <w:kern w:val="18"/>
          <w:sz w:val="32"/>
          <w:szCs w:val="28"/>
        </w:rPr>
        <w:t>评价适用标准</w:t>
      </w:r>
      <w:bookmarkEnd w:id="3"/>
    </w:p>
    <w:tbl>
      <w:tblPr>
        <w:tblStyle w:val="26"/>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08"/>
        <w:gridCol w:w="863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pPr>
              <w:spacing w:before="156" w:beforeLines="50" w:line="360" w:lineRule="auto"/>
              <w:jc w:val="center"/>
              <w:rPr>
                <w:rFonts w:ascii="Times New Roman" w:hAnsi="Times New Roman"/>
                <w:b/>
                <w:sz w:val="28"/>
                <w:szCs w:val="28"/>
              </w:rPr>
            </w:pPr>
            <w:r>
              <w:rPr>
                <w:rFonts w:ascii="Times New Roman" w:hAnsi="Times New Roman"/>
                <w:b/>
                <w:sz w:val="28"/>
                <w:szCs w:val="28"/>
              </w:rPr>
              <w:t>环</w:t>
            </w:r>
          </w:p>
          <w:p>
            <w:pPr>
              <w:spacing w:line="360" w:lineRule="auto"/>
              <w:jc w:val="center"/>
              <w:rPr>
                <w:rFonts w:ascii="Times New Roman" w:hAnsi="Times New Roman"/>
                <w:b/>
                <w:sz w:val="28"/>
                <w:szCs w:val="28"/>
              </w:rPr>
            </w:pPr>
            <w:r>
              <w:rPr>
                <w:rFonts w:ascii="Times New Roman" w:hAnsi="Times New Roman"/>
                <w:b/>
                <w:sz w:val="28"/>
                <w:szCs w:val="28"/>
              </w:rPr>
              <w:t>境</w:t>
            </w:r>
          </w:p>
          <w:p>
            <w:pPr>
              <w:spacing w:line="360" w:lineRule="auto"/>
              <w:jc w:val="center"/>
              <w:rPr>
                <w:rFonts w:ascii="Times New Roman" w:hAnsi="Times New Roman"/>
                <w:b/>
                <w:sz w:val="28"/>
                <w:szCs w:val="28"/>
              </w:rPr>
            </w:pPr>
            <w:r>
              <w:rPr>
                <w:rFonts w:ascii="Times New Roman" w:hAnsi="Times New Roman"/>
                <w:b/>
                <w:sz w:val="28"/>
                <w:szCs w:val="28"/>
              </w:rPr>
              <w:t>质</w:t>
            </w:r>
          </w:p>
          <w:p>
            <w:pPr>
              <w:spacing w:line="360" w:lineRule="auto"/>
              <w:jc w:val="center"/>
              <w:rPr>
                <w:rFonts w:ascii="Times New Roman" w:hAnsi="Times New Roman"/>
                <w:b/>
                <w:sz w:val="28"/>
                <w:szCs w:val="28"/>
              </w:rPr>
            </w:pPr>
            <w:r>
              <w:rPr>
                <w:rFonts w:ascii="Times New Roman" w:hAnsi="Times New Roman"/>
                <w:b/>
                <w:sz w:val="28"/>
                <w:szCs w:val="28"/>
              </w:rPr>
              <w:t>量</w:t>
            </w:r>
          </w:p>
          <w:p>
            <w:pPr>
              <w:spacing w:line="360" w:lineRule="auto"/>
              <w:jc w:val="center"/>
              <w:rPr>
                <w:rFonts w:ascii="Times New Roman" w:hAnsi="Times New Roman"/>
                <w:b/>
                <w:sz w:val="28"/>
                <w:szCs w:val="28"/>
              </w:rPr>
            </w:pPr>
            <w:r>
              <w:rPr>
                <w:rFonts w:ascii="Times New Roman" w:hAnsi="Times New Roman"/>
                <w:b/>
                <w:sz w:val="28"/>
                <w:szCs w:val="28"/>
              </w:rPr>
              <w:t>标</w:t>
            </w:r>
          </w:p>
          <w:p>
            <w:pPr>
              <w:spacing w:line="360" w:lineRule="auto"/>
              <w:jc w:val="center"/>
              <w:rPr>
                <w:rFonts w:ascii="Times New Roman" w:hAnsi="Times New Roman"/>
                <w:sz w:val="24"/>
              </w:rPr>
            </w:pPr>
            <w:r>
              <w:rPr>
                <w:rFonts w:ascii="Times New Roman" w:hAnsi="Times New Roman"/>
                <w:b/>
                <w:sz w:val="28"/>
                <w:szCs w:val="28"/>
              </w:rPr>
              <w:t>准</w:t>
            </w:r>
          </w:p>
        </w:tc>
        <w:tc>
          <w:tcPr>
            <w:tcW w:w="4621"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560" w:firstLineChars="200"/>
              <w:textAlignment w:val="baseline"/>
              <w:rPr>
                <w:rFonts w:ascii="Times New Roman" w:hAnsi="Times New Roman"/>
                <w:b/>
                <w:bCs/>
                <w:kern w:val="0"/>
                <w:sz w:val="28"/>
                <w:szCs w:val="28"/>
              </w:rPr>
            </w:pPr>
            <w:r>
              <w:rPr>
                <w:rFonts w:ascii="Times New Roman" w:hAnsi="Times New Roman"/>
                <w:b/>
                <w:bCs/>
                <w:kern w:val="0"/>
                <w:sz w:val="28"/>
                <w:szCs w:val="28"/>
              </w:rPr>
              <w:t>1、环境空气</w:t>
            </w:r>
          </w:p>
          <w:p>
            <w:pPr>
              <w:spacing w:line="360" w:lineRule="auto"/>
              <w:ind w:firstLine="560" w:firstLineChars="200"/>
              <w:rPr>
                <w:rFonts w:ascii="Times New Roman" w:hAnsi="Times New Roman"/>
                <w:sz w:val="28"/>
                <w:szCs w:val="28"/>
              </w:rPr>
            </w:pPr>
            <w:r>
              <w:rPr>
                <w:rFonts w:ascii="Times New Roman" w:hAnsi="Times New Roman"/>
                <w:sz w:val="28"/>
                <w:szCs w:val="28"/>
              </w:rPr>
              <w:t>本项目所在地环境空气质量执行《环境空气质量标准》（GB3095</w:t>
            </w:r>
            <w:r>
              <w:rPr>
                <w:rFonts w:ascii="Times New Roman" w:hAnsi="Times New Roman"/>
                <w:sz w:val="28"/>
                <w:szCs w:val="28"/>
              </w:rPr>
              <w:sym w:font="Symbol" w:char="F02D"/>
            </w:r>
            <w:r>
              <w:rPr>
                <w:rFonts w:ascii="Times New Roman" w:hAnsi="Times New Roman"/>
                <w:sz w:val="28"/>
                <w:szCs w:val="28"/>
              </w:rPr>
              <w:t>2012）二级标准的浓度限值</w:t>
            </w:r>
            <w:r>
              <w:rPr>
                <w:rFonts w:hint="eastAsia" w:ascii="Times New Roman" w:hAnsi="Times New Roman"/>
                <w:sz w:val="28"/>
                <w:szCs w:val="28"/>
              </w:rPr>
              <w:t>；非甲烷总烃浓度满足《环境空气质量 非甲烷总烃限值》(DB13/1577-2012)中二级标准浓度限值要求</w:t>
            </w:r>
            <w:r>
              <w:rPr>
                <w:rFonts w:ascii="Times New Roman" w:hAnsi="Times New Roman"/>
                <w:sz w:val="28"/>
                <w:szCs w:val="28"/>
              </w:rPr>
              <w:t>，标准值见下表。</w:t>
            </w:r>
          </w:p>
          <w:p>
            <w:pPr>
              <w:wordWrap w:val="0"/>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17</w:t>
            </w:r>
            <w:r>
              <w:rPr>
                <w:rFonts w:ascii="Times New Roman" w:hAnsi="Times New Roman"/>
                <w:b/>
                <w:sz w:val="24"/>
              </w:rPr>
              <w:t xml:space="preserve">     环境空气质量标准限值</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4"/>
              <w:gridCol w:w="2148"/>
              <w:gridCol w:w="1742"/>
              <w:gridCol w:w="882"/>
              <w:gridCol w:w="23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Align w:val="center"/>
                </w:tcPr>
                <w:p>
                  <w:pPr>
                    <w:jc w:val="center"/>
                    <w:rPr>
                      <w:rFonts w:ascii="Times New Roman" w:hAnsi="Times New Roman"/>
                      <w:kern w:val="0"/>
                      <w:szCs w:val="21"/>
                    </w:rPr>
                  </w:pPr>
                  <w:r>
                    <w:rPr>
                      <w:rFonts w:ascii="Times New Roman" w:hAnsi="Times New Roman"/>
                      <w:kern w:val="0"/>
                      <w:szCs w:val="21"/>
                    </w:rPr>
                    <w:t>污染物名称</w:t>
                  </w:r>
                </w:p>
              </w:tc>
              <w:tc>
                <w:tcPr>
                  <w:tcW w:w="1276" w:type="pct"/>
                  <w:vAlign w:val="center"/>
                </w:tcPr>
                <w:p>
                  <w:pPr>
                    <w:jc w:val="center"/>
                    <w:rPr>
                      <w:rFonts w:ascii="Times New Roman" w:hAnsi="Times New Roman"/>
                      <w:kern w:val="0"/>
                      <w:szCs w:val="21"/>
                    </w:rPr>
                  </w:pPr>
                  <w:r>
                    <w:rPr>
                      <w:rFonts w:ascii="Times New Roman" w:hAnsi="Times New Roman"/>
                      <w:kern w:val="0"/>
                      <w:szCs w:val="21"/>
                    </w:rPr>
                    <w:t>取值时间</w:t>
                  </w:r>
                </w:p>
              </w:tc>
              <w:tc>
                <w:tcPr>
                  <w:tcW w:w="1035" w:type="pct"/>
                  <w:vAlign w:val="center"/>
                </w:tcPr>
                <w:p>
                  <w:pPr>
                    <w:jc w:val="center"/>
                    <w:rPr>
                      <w:rFonts w:ascii="Times New Roman" w:hAnsi="Times New Roman"/>
                      <w:kern w:val="0"/>
                      <w:szCs w:val="21"/>
                    </w:rPr>
                  </w:pPr>
                  <w:r>
                    <w:rPr>
                      <w:rFonts w:ascii="Times New Roman" w:hAnsi="Times New Roman"/>
                      <w:kern w:val="0"/>
                      <w:szCs w:val="21"/>
                    </w:rPr>
                    <w:t>二级浓度限值</w:t>
                  </w:r>
                </w:p>
              </w:tc>
              <w:tc>
                <w:tcPr>
                  <w:tcW w:w="524" w:type="pct"/>
                  <w:vAlign w:val="center"/>
                </w:tcPr>
                <w:p>
                  <w:pPr>
                    <w:jc w:val="center"/>
                    <w:rPr>
                      <w:rFonts w:ascii="Times New Roman" w:hAnsi="Times New Roman"/>
                      <w:kern w:val="0"/>
                      <w:szCs w:val="21"/>
                    </w:rPr>
                  </w:pPr>
                  <w:r>
                    <w:rPr>
                      <w:rFonts w:ascii="Times New Roman" w:hAnsi="Times New Roman"/>
                      <w:kern w:val="0"/>
                      <w:szCs w:val="21"/>
                    </w:rPr>
                    <w:t>单位</w:t>
                  </w:r>
                </w:p>
              </w:tc>
              <w:tc>
                <w:tcPr>
                  <w:tcW w:w="1377" w:type="pct"/>
                  <w:vAlign w:val="center"/>
                </w:tcPr>
                <w:p>
                  <w:pPr>
                    <w:jc w:val="center"/>
                    <w:rPr>
                      <w:rFonts w:ascii="Times New Roman" w:hAnsi="Times New Roman"/>
                      <w:kern w:val="0"/>
                      <w:szCs w:val="21"/>
                    </w:rPr>
                  </w:pPr>
                  <w:r>
                    <w:rPr>
                      <w:rFonts w:ascii="Times New Roman" w:hAnsi="Times New Roman"/>
                      <w:kern w:val="0"/>
                      <w:szCs w:val="21"/>
                    </w:rPr>
                    <w:t>标准来源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restart"/>
                  <w:vAlign w:val="center"/>
                </w:tcPr>
                <w:p>
                  <w:pPr>
                    <w:jc w:val="center"/>
                    <w:rPr>
                      <w:rFonts w:ascii="Times New Roman" w:hAnsi="Times New Roman"/>
                      <w:kern w:val="0"/>
                      <w:szCs w:val="21"/>
                    </w:rPr>
                  </w:pPr>
                  <w:r>
                    <w:rPr>
                      <w:rFonts w:ascii="Times New Roman" w:hAnsi="Times New Roman"/>
                      <w:kern w:val="0"/>
                      <w:szCs w:val="21"/>
                    </w:rPr>
                    <w:t>SO</w:t>
                  </w:r>
                  <w:r>
                    <w:rPr>
                      <w:rFonts w:ascii="Times New Roman" w:hAnsi="Times New Roman"/>
                      <w:kern w:val="0"/>
                      <w:szCs w:val="21"/>
                      <w:vertAlign w:val="subscript"/>
                    </w:rPr>
                    <w:t>2</w:t>
                  </w:r>
                </w:p>
              </w:tc>
              <w:tc>
                <w:tcPr>
                  <w:tcW w:w="1276" w:type="pct"/>
                  <w:vAlign w:val="center"/>
                </w:tcPr>
                <w:p>
                  <w:pPr>
                    <w:jc w:val="center"/>
                    <w:rPr>
                      <w:rFonts w:ascii="Times New Roman" w:hAnsi="Times New Roman"/>
                      <w:kern w:val="0"/>
                      <w:szCs w:val="21"/>
                    </w:rPr>
                  </w:pPr>
                  <w:r>
                    <w:rPr>
                      <w:rFonts w:ascii="Times New Roman" w:hAnsi="Times New Roman"/>
                      <w:kern w:val="0"/>
                      <w:szCs w:val="21"/>
                    </w:rPr>
                    <w:t>年平均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60</w:t>
                  </w:r>
                </w:p>
              </w:tc>
              <w:tc>
                <w:tcPr>
                  <w:tcW w:w="524" w:type="pct"/>
                  <w:vMerge w:val="restart"/>
                  <w:vAlign w:val="center"/>
                </w:tcPr>
                <w:p>
                  <w:pPr>
                    <w:jc w:val="center"/>
                    <w:rPr>
                      <w:rFonts w:ascii="Times New Roman" w:hAnsi="Times New Roman"/>
                      <w:kern w:val="0"/>
                      <w:szCs w:val="21"/>
                    </w:rPr>
                  </w:pPr>
                  <w:r>
                    <w:rPr>
                      <w:rFonts w:ascii="Times New Roman" w:hAnsi="Times New Roman"/>
                      <w:kern w:val="0"/>
                      <w:szCs w:val="21"/>
                    </w:rPr>
                    <w:t>μg /m</w:t>
                  </w:r>
                  <w:r>
                    <w:rPr>
                      <w:rFonts w:ascii="Times New Roman" w:hAnsi="Times New Roman"/>
                      <w:kern w:val="0"/>
                      <w:szCs w:val="21"/>
                      <w:vertAlign w:val="superscript"/>
                    </w:rPr>
                    <w:t>3</w:t>
                  </w:r>
                </w:p>
              </w:tc>
              <w:tc>
                <w:tcPr>
                  <w:tcW w:w="1377" w:type="pct"/>
                  <w:vMerge w:val="restart"/>
                  <w:vAlign w:val="center"/>
                </w:tcPr>
                <w:p>
                  <w:pPr>
                    <w:jc w:val="center"/>
                    <w:rPr>
                      <w:rFonts w:ascii="Times New Roman" w:hAnsi="Times New Roman"/>
                      <w:kern w:val="0"/>
                      <w:szCs w:val="21"/>
                    </w:rPr>
                  </w:pPr>
                  <w:r>
                    <w:rPr>
                      <w:rFonts w:ascii="Times New Roman" w:hAnsi="Times New Roman"/>
                      <w:kern w:val="0"/>
                      <w:szCs w:val="21"/>
                    </w:rPr>
                    <w:t>《环境空气质量标准》（GB3095-2012）二级标准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24小时平均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150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1小时平均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500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restart"/>
                  <w:vAlign w:val="center"/>
                </w:tcPr>
                <w:p>
                  <w:pPr>
                    <w:jc w:val="center"/>
                    <w:rPr>
                      <w:rFonts w:ascii="Times New Roman" w:hAnsi="Times New Roman"/>
                      <w:kern w:val="0"/>
                      <w:szCs w:val="21"/>
                    </w:rPr>
                  </w:pPr>
                  <w:r>
                    <w:rPr>
                      <w:rFonts w:ascii="Times New Roman" w:hAnsi="Times New Roman"/>
                      <w:kern w:val="0"/>
                      <w:szCs w:val="21"/>
                    </w:rPr>
                    <w:t>NO</w:t>
                  </w:r>
                  <w:r>
                    <w:rPr>
                      <w:rFonts w:ascii="Times New Roman" w:hAnsi="Times New Roman"/>
                      <w:kern w:val="0"/>
                      <w:szCs w:val="21"/>
                      <w:vertAlign w:val="subscript"/>
                    </w:rPr>
                    <w:t>x</w:t>
                  </w:r>
                </w:p>
              </w:tc>
              <w:tc>
                <w:tcPr>
                  <w:tcW w:w="1276" w:type="pct"/>
                  <w:vAlign w:val="center"/>
                </w:tcPr>
                <w:p>
                  <w:pPr>
                    <w:jc w:val="center"/>
                    <w:rPr>
                      <w:rFonts w:ascii="Times New Roman" w:hAnsi="Times New Roman"/>
                      <w:kern w:val="0"/>
                      <w:szCs w:val="21"/>
                    </w:rPr>
                  </w:pPr>
                  <w:r>
                    <w:rPr>
                      <w:rFonts w:ascii="Times New Roman" w:hAnsi="Times New Roman"/>
                      <w:kern w:val="0"/>
                      <w:szCs w:val="21"/>
                    </w:rPr>
                    <w:t>年平均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50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24小时平均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100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1小时平均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250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restart"/>
                  <w:vAlign w:val="center"/>
                </w:tcPr>
                <w:p>
                  <w:pPr>
                    <w:jc w:val="center"/>
                    <w:rPr>
                      <w:rFonts w:ascii="Times New Roman" w:hAnsi="Times New Roman"/>
                      <w:kern w:val="0"/>
                      <w:szCs w:val="21"/>
                    </w:rPr>
                  </w:pPr>
                  <w:r>
                    <w:rPr>
                      <w:rFonts w:ascii="Times New Roman" w:hAnsi="Times New Roman"/>
                      <w:kern w:val="0"/>
                      <w:szCs w:val="21"/>
                    </w:rPr>
                    <w:t>NO</w:t>
                  </w:r>
                  <w:r>
                    <w:rPr>
                      <w:rFonts w:ascii="Times New Roman" w:hAnsi="Times New Roman"/>
                      <w:kern w:val="0"/>
                      <w:szCs w:val="21"/>
                      <w:vertAlign w:val="subscript"/>
                    </w:rPr>
                    <w:t>2</w:t>
                  </w:r>
                </w:p>
              </w:tc>
              <w:tc>
                <w:tcPr>
                  <w:tcW w:w="1276" w:type="pct"/>
                  <w:vAlign w:val="center"/>
                </w:tcPr>
                <w:p>
                  <w:pPr>
                    <w:jc w:val="center"/>
                    <w:rPr>
                      <w:rFonts w:ascii="Times New Roman" w:hAnsi="Times New Roman"/>
                      <w:kern w:val="0"/>
                      <w:szCs w:val="21"/>
                    </w:rPr>
                  </w:pPr>
                  <w:r>
                    <w:rPr>
                      <w:rFonts w:ascii="Times New Roman" w:hAnsi="Times New Roman"/>
                      <w:kern w:val="0"/>
                      <w:szCs w:val="21"/>
                    </w:rPr>
                    <w:t>年平均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40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24小时平均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80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1小时平均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200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restart"/>
                  <w:vAlign w:val="center"/>
                </w:tcPr>
                <w:p>
                  <w:pPr>
                    <w:jc w:val="center"/>
                    <w:rPr>
                      <w:rFonts w:ascii="Times New Roman" w:hAnsi="Times New Roman"/>
                      <w:kern w:val="0"/>
                      <w:szCs w:val="21"/>
                    </w:rPr>
                  </w:pPr>
                  <w:r>
                    <w:rPr>
                      <w:rFonts w:ascii="Times New Roman" w:hAnsi="Times New Roman"/>
                      <w:kern w:val="0"/>
                      <w:szCs w:val="21"/>
                    </w:rPr>
                    <w:t>PM</w:t>
                  </w:r>
                  <w:r>
                    <w:rPr>
                      <w:rFonts w:ascii="Times New Roman" w:hAnsi="Times New Roman"/>
                      <w:kern w:val="0"/>
                      <w:szCs w:val="21"/>
                      <w:vertAlign w:val="subscript"/>
                    </w:rPr>
                    <w:t>10</w:t>
                  </w:r>
                </w:p>
              </w:tc>
              <w:tc>
                <w:tcPr>
                  <w:tcW w:w="1276" w:type="pct"/>
                  <w:vAlign w:val="center"/>
                </w:tcPr>
                <w:p>
                  <w:pPr>
                    <w:jc w:val="center"/>
                    <w:rPr>
                      <w:rFonts w:ascii="Times New Roman" w:hAnsi="Times New Roman"/>
                      <w:kern w:val="0"/>
                      <w:szCs w:val="21"/>
                    </w:rPr>
                  </w:pPr>
                  <w:r>
                    <w:rPr>
                      <w:rFonts w:ascii="Times New Roman" w:hAnsi="Times New Roman"/>
                      <w:kern w:val="0"/>
                      <w:szCs w:val="21"/>
                    </w:rPr>
                    <w:t>年平均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70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24小时平均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150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restart"/>
                  <w:vAlign w:val="center"/>
                </w:tcPr>
                <w:p>
                  <w:pPr>
                    <w:jc w:val="center"/>
                    <w:rPr>
                      <w:rFonts w:ascii="Times New Roman" w:hAnsi="Times New Roman" w:eastAsiaTheme="minorEastAsia"/>
                      <w:szCs w:val="21"/>
                      <w:lang w:bidi="ar"/>
                    </w:rPr>
                  </w:pPr>
                  <w:r>
                    <w:rPr>
                      <w:rFonts w:ascii="Times New Roman" w:hAnsi="Times New Roman" w:eastAsiaTheme="minorEastAsia"/>
                      <w:szCs w:val="21"/>
                      <w:lang w:bidi="ar"/>
                    </w:rPr>
                    <w:t>PM</w:t>
                  </w:r>
                  <w:r>
                    <w:rPr>
                      <w:rFonts w:ascii="Times New Roman" w:hAnsi="Times New Roman" w:eastAsiaTheme="minorEastAsia"/>
                      <w:szCs w:val="21"/>
                      <w:vertAlign w:val="subscript"/>
                      <w:lang w:bidi="ar"/>
                    </w:rPr>
                    <w:t>2.5</w:t>
                  </w:r>
                </w:p>
              </w:tc>
              <w:tc>
                <w:tcPr>
                  <w:tcW w:w="1276" w:type="pct"/>
                  <w:vAlign w:val="center"/>
                </w:tcPr>
                <w:p>
                  <w:pPr>
                    <w:jc w:val="center"/>
                    <w:rPr>
                      <w:rFonts w:ascii="Times New Roman" w:hAnsi="Times New Roman" w:eastAsiaTheme="minorEastAsia"/>
                      <w:bCs/>
                      <w:szCs w:val="21"/>
                    </w:rPr>
                  </w:pPr>
                  <w:r>
                    <w:rPr>
                      <w:rFonts w:ascii="Times New Roman" w:hAnsi="Times New Roman" w:eastAsiaTheme="minorEastAsia"/>
                      <w:bCs/>
                      <w:szCs w:val="21"/>
                      <w:lang w:bidi="ar"/>
                    </w:rPr>
                    <w:t>年平均</w:t>
                  </w:r>
                </w:p>
              </w:tc>
              <w:tc>
                <w:tcPr>
                  <w:tcW w:w="1035" w:type="pct"/>
                  <w:vAlign w:val="center"/>
                </w:tcPr>
                <w:p>
                  <w:pPr>
                    <w:jc w:val="center"/>
                    <w:rPr>
                      <w:rFonts w:ascii="Times New Roman" w:hAnsi="Times New Roman" w:eastAsiaTheme="minorEastAsia"/>
                      <w:szCs w:val="21"/>
                    </w:rPr>
                  </w:pPr>
                  <w:r>
                    <w:rPr>
                      <w:rFonts w:ascii="Times New Roman" w:hAnsi="Times New Roman" w:eastAsiaTheme="minorEastAsia"/>
                      <w:szCs w:val="21"/>
                      <w:lang w:bidi="ar"/>
                    </w:rPr>
                    <w:t>35</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kern w:val="0"/>
                      <w:szCs w:val="21"/>
                    </w:rPr>
                  </w:pPr>
                </w:p>
              </w:tc>
              <w:tc>
                <w:tcPr>
                  <w:tcW w:w="1276" w:type="pct"/>
                  <w:vAlign w:val="center"/>
                </w:tcPr>
                <w:p>
                  <w:pPr>
                    <w:jc w:val="center"/>
                    <w:rPr>
                      <w:rFonts w:ascii="Times New Roman" w:hAnsi="Times New Roman"/>
                      <w:kern w:val="0"/>
                      <w:szCs w:val="21"/>
                    </w:rPr>
                  </w:pPr>
                  <w:r>
                    <w:rPr>
                      <w:rFonts w:ascii="Times New Roman" w:hAnsi="Times New Roman"/>
                      <w:kern w:val="0"/>
                      <w:szCs w:val="21"/>
                    </w:rPr>
                    <w:t>24小时平均</w:t>
                  </w:r>
                </w:p>
              </w:tc>
              <w:tc>
                <w:tcPr>
                  <w:tcW w:w="1035" w:type="pct"/>
                  <w:vAlign w:val="center"/>
                </w:tcPr>
                <w:p>
                  <w:pPr>
                    <w:jc w:val="center"/>
                    <w:rPr>
                      <w:rFonts w:ascii="Times New Roman" w:hAnsi="Times New Roman" w:eastAsiaTheme="minorEastAsia"/>
                      <w:szCs w:val="21"/>
                      <w:lang w:bidi="ar"/>
                    </w:rPr>
                  </w:pPr>
                  <w:r>
                    <w:rPr>
                      <w:rFonts w:ascii="Times New Roman" w:hAnsi="Times New Roman" w:eastAsiaTheme="minorEastAsia"/>
                      <w:szCs w:val="21"/>
                    </w:rPr>
                    <w:t>75</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restart"/>
                  <w:vAlign w:val="center"/>
                </w:tcPr>
                <w:p>
                  <w:pPr>
                    <w:jc w:val="center"/>
                    <w:rPr>
                      <w:rFonts w:ascii="Times New Roman" w:hAnsi="Times New Roman" w:eastAsiaTheme="minorEastAsia"/>
                      <w:szCs w:val="21"/>
                      <w:lang w:bidi="ar"/>
                    </w:rPr>
                  </w:pPr>
                  <w:r>
                    <w:rPr>
                      <w:rFonts w:ascii="Times New Roman" w:hAnsi="Times New Roman" w:eastAsiaTheme="minorEastAsia"/>
                      <w:szCs w:val="21"/>
                      <w:lang w:bidi="ar"/>
                    </w:rPr>
                    <w:t>CO</w:t>
                  </w:r>
                </w:p>
              </w:tc>
              <w:tc>
                <w:tcPr>
                  <w:tcW w:w="1276" w:type="pct"/>
                  <w:vAlign w:val="center"/>
                </w:tcPr>
                <w:p>
                  <w:pPr>
                    <w:jc w:val="center"/>
                    <w:rPr>
                      <w:rFonts w:ascii="Times New Roman" w:hAnsi="Times New Roman" w:eastAsiaTheme="minorEastAsia"/>
                      <w:bCs/>
                      <w:szCs w:val="21"/>
                      <w:lang w:bidi="ar"/>
                    </w:rPr>
                  </w:pPr>
                  <w:r>
                    <w:rPr>
                      <w:rFonts w:ascii="Times New Roman" w:hAnsi="Times New Roman"/>
                      <w:kern w:val="0"/>
                      <w:szCs w:val="21"/>
                    </w:rPr>
                    <w:t>24小时平均</w:t>
                  </w:r>
                </w:p>
              </w:tc>
              <w:tc>
                <w:tcPr>
                  <w:tcW w:w="1035" w:type="pct"/>
                  <w:vAlign w:val="center"/>
                </w:tcPr>
                <w:p>
                  <w:pPr>
                    <w:jc w:val="center"/>
                    <w:rPr>
                      <w:rFonts w:ascii="Times New Roman" w:hAnsi="Times New Roman" w:eastAsiaTheme="minorEastAsia"/>
                      <w:szCs w:val="21"/>
                      <w:lang w:bidi="ar"/>
                    </w:rPr>
                  </w:pPr>
                  <w:r>
                    <w:rPr>
                      <w:rFonts w:ascii="Times New Roman" w:hAnsi="Times New Roman" w:eastAsiaTheme="minorEastAsia"/>
                      <w:szCs w:val="21"/>
                      <w:lang w:bidi="ar"/>
                    </w:rPr>
                    <w:t>4000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Merge w:val="continue"/>
                  <w:vAlign w:val="center"/>
                </w:tcPr>
                <w:p>
                  <w:pPr>
                    <w:jc w:val="center"/>
                    <w:rPr>
                      <w:rFonts w:ascii="Times New Roman" w:hAnsi="Times New Roman" w:eastAsiaTheme="minorEastAsia"/>
                      <w:szCs w:val="21"/>
                      <w:lang w:bidi="ar"/>
                    </w:rPr>
                  </w:pPr>
                </w:p>
              </w:tc>
              <w:tc>
                <w:tcPr>
                  <w:tcW w:w="1276" w:type="pct"/>
                  <w:vAlign w:val="center"/>
                </w:tcPr>
                <w:p>
                  <w:pPr>
                    <w:jc w:val="center"/>
                    <w:rPr>
                      <w:rFonts w:ascii="Times New Roman" w:hAnsi="Times New Roman" w:eastAsiaTheme="minorEastAsia"/>
                      <w:bCs/>
                      <w:szCs w:val="21"/>
                      <w:lang w:bidi="ar"/>
                    </w:rPr>
                  </w:pPr>
                  <w:r>
                    <w:rPr>
                      <w:rFonts w:ascii="Times New Roman" w:hAnsi="Times New Roman"/>
                      <w:kern w:val="0"/>
                      <w:szCs w:val="21"/>
                    </w:rPr>
                    <w:t>1小时平均</w:t>
                  </w:r>
                </w:p>
              </w:tc>
              <w:tc>
                <w:tcPr>
                  <w:tcW w:w="1035" w:type="pct"/>
                  <w:vAlign w:val="center"/>
                </w:tcPr>
                <w:p>
                  <w:pPr>
                    <w:jc w:val="center"/>
                    <w:rPr>
                      <w:rFonts w:ascii="Times New Roman" w:hAnsi="Times New Roman" w:eastAsiaTheme="minorEastAsia"/>
                      <w:szCs w:val="21"/>
                      <w:lang w:bidi="ar"/>
                    </w:rPr>
                  </w:pPr>
                  <w:r>
                    <w:rPr>
                      <w:rFonts w:hint="eastAsia" w:ascii="Times New Roman" w:hAnsi="Times New Roman" w:eastAsiaTheme="minorEastAsia"/>
                      <w:szCs w:val="21"/>
                      <w:lang w:bidi="ar"/>
                    </w:rPr>
                    <w:t>10000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Align w:val="center"/>
                </w:tcPr>
                <w:p>
                  <w:pPr>
                    <w:jc w:val="center"/>
                    <w:rPr>
                      <w:rFonts w:ascii="Times New Roman" w:hAnsi="Times New Roman" w:eastAsiaTheme="minorEastAsia"/>
                      <w:szCs w:val="21"/>
                      <w:lang w:bidi="ar"/>
                    </w:rPr>
                  </w:pPr>
                  <w:r>
                    <w:rPr>
                      <w:rFonts w:ascii="Times New Roman" w:hAnsi="Times New Roman" w:eastAsiaTheme="minorEastAsia"/>
                      <w:szCs w:val="21"/>
                      <w:lang w:bidi="ar"/>
                    </w:rPr>
                    <w:t>O</w:t>
                  </w:r>
                  <w:r>
                    <w:rPr>
                      <w:rFonts w:ascii="Times New Roman" w:hAnsi="Times New Roman" w:eastAsiaTheme="minorEastAsia"/>
                      <w:szCs w:val="21"/>
                      <w:vertAlign w:val="subscript"/>
                      <w:lang w:bidi="ar"/>
                    </w:rPr>
                    <w:t>3</w:t>
                  </w:r>
                </w:p>
              </w:tc>
              <w:tc>
                <w:tcPr>
                  <w:tcW w:w="1276" w:type="pct"/>
                  <w:vAlign w:val="center"/>
                </w:tcPr>
                <w:p>
                  <w:pPr>
                    <w:jc w:val="center"/>
                    <w:rPr>
                      <w:rFonts w:ascii="Times New Roman" w:hAnsi="Times New Roman" w:eastAsiaTheme="minorEastAsia"/>
                      <w:bCs/>
                      <w:szCs w:val="21"/>
                      <w:lang w:bidi="ar"/>
                    </w:rPr>
                  </w:pPr>
                  <w:r>
                    <w:rPr>
                      <w:rFonts w:hint="eastAsia" w:ascii="Times New Roman" w:hAnsi="Times New Roman" w:eastAsiaTheme="minorEastAsia"/>
                      <w:bCs/>
                      <w:szCs w:val="21"/>
                      <w:lang w:bidi="ar"/>
                    </w:rPr>
                    <w:t>日最大</w:t>
                  </w:r>
                  <w:r>
                    <w:rPr>
                      <w:rFonts w:ascii="Times New Roman" w:hAnsi="Times New Roman" w:eastAsiaTheme="minorEastAsia"/>
                      <w:bCs/>
                      <w:szCs w:val="21"/>
                      <w:lang w:bidi="ar"/>
                    </w:rPr>
                    <w:t>8小时平均</w:t>
                  </w:r>
                </w:p>
              </w:tc>
              <w:tc>
                <w:tcPr>
                  <w:tcW w:w="1035" w:type="pct"/>
                  <w:vAlign w:val="center"/>
                </w:tcPr>
                <w:p>
                  <w:pPr>
                    <w:jc w:val="center"/>
                    <w:rPr>
                      <w:rFonts w:ascii="Times New Roman" w:hAnsi="Times New Roman" w:eastAsiaTheme="minorEastAsia"/>
                      <w:szCs w:val="21"/>
                      <w:lang w:bidi="ar"/>
                    </w:rPr>
                  </w:pPr>
                  <w:r>
                    <w:rPr>
                      <w:rFonts w:ascii="Times New Roman" w:hAnsi="Times New Roman" w:eastAsiaTheme="minorEastAsia"/>
                      <w:szCs w:val="21"/>
                      <w:lang w:bidi="ar"/>
                    </w:rPr>
                    <w:t>160</w:t>
                  </w:r>
                </w:p>
              </w:tc>
              <w:tc>
                <w:tcPr>
                  <w:tcW w:w="524" w:type="pct"/>
                  <w:vMerge w:val="continue"/>
                  <w:vAlign w:val="center"/>
                </w:tcPr>
                <w:p>
                  <w:pPr>
                    <w:jc w:val="center"/>
                    <w:rPr>
                      <w:rFonts w:ascii="Times New Roman" w:hAnsi="Times New Roman"/>
                      <w:kern w:val="0"/>
                      <w:szCs w:val="21"/>
                    </w:rPr>
                  </w:pPr>
                </w:p>
              </w:tc>
              <w:tc>
                <w:tcPr>
                  <w:tcW w:w="1377" w:type="pct"/>
                  <w:vMerge w:val="continue"/>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87" w:type="pct"/>
                  <w:vAlign w:val="center"/>
                </w:tcPr>
                <w:p>
                  <w:pPr>
                    <w:jc w:val="center"/>
                    <w:rPr>
                      <w:rFonts w:ascii="Times New Roman" w:hAnsi="Times New Roman"/>
                      <w:kern w:val="0"/>
                      <w:szCs w:val="21"/>
                    </w:rPr>
                  </w:pPr>
                  <w:r>
                    <w:rPr>
                      <w:rFonts w:ascii="Times New Roman" w:hAnsi="Times New Roman"/>
                      <w:kern w:val="0"/>
                      <w:szCs w:val="21"/>
                    </w:rPr>
                    <w:t>非甲烷总烃</w:t>
                  </w:r>
                </w:p>
              </w:tc>
              <w:tc>
                <w:tcPr>
                  <w:tcW w:w="1276" w:type="pct"/>
                  <w:vAlign w:val="center"/>
                </w:tcPr>
                <w:p>
                  <w:pPr>
                    <w:jc w:val="center"/>
                    <w:rPr>
                      <w:rFonts w:ascii="Times New Roman" w:hAnsi="Times New Roman"/>
                      <w:kern w:val="0"/>
                      <w:szCs w:val="21"/>
                    </w:rPr>
                  </w:pPr>
                  <w:r>
                    <w:rPr>
                      <w:rFonts w:ascii="Times New Roman" w:hAnsi="Times New Roman"/>
                      <w:kern w:val="0"/>
                      <w:szCs w:val="21"/>
                    </w:rPr>
                    <w:t>1小时平均</w:t>
                  </w:r>
                </w:p>
              </w:tc>
              <w:tc>
                <w:tcPr>
                  <w:tcW w:w="1035" w:type="pct"/>
                  <w:vAlign w:val="center"/>
                </w:tcPr>
                <w:p>
                  <w:pPr>
                    <w:jc w:val="center"/>
                    <w:rPr>
                      <w:rFonts w:ascii="Times New Roman" w:hAnsi="Times New Roman"/>
                      <w:kern w:val="0"/>
                      <w:szCs w:val="21"/>
                    </w:rPr>
                  </w:pPr>
                  <w:r>
                    <w:rPr>
                      <w:rFonts w:ascii="Times New Roman" w:hAnsi="Times New Roman"/>
                      <w:kern w:val="0"/>
                      <w:szCs w:val="21"/>
                    </w:rPr>
                    <w:t>2.0</w:t>
                  </w:r>
                </w:p>
              </w:tc>
              <w:tc>
                <w:tcPr>
                  <w:tcW w:w="524" w:type="pct"/>
                  <w:vAlign w:val="center"/>
                </w:tcPr>
                <w:p>
                  <w:pPr>
                    <w:jc w:val="center"/>
                    <w:rPr>
                      <w:rFonts w:ascii="Times New Roman" w:hAnsi="Times New Roman"/>
                      <w:kern w:val="0"/>
                      <w:szCs w:val="21"/>
                    </w:rPr>
                  </w:pPr>
                  <w:r>
                    <w:rPr>
                      <w:rFonts w:ascii="Times New Roman" w:hAnsi="Times New Roman"/>
                      <w:kern w:val="0"/>
                      <w:szCs w:val="21"/>
                    </w:rPr>
                    <w:t>mg /m</w:t>
                  </w:r>
                  <w:r>
                    <w:rPr>
                      <w:rFonts w:ascii="Times New Roman" w:hAnsi="Times New Roman"/>
                      <w:kern w:val="0"/>
                      <w:szCs w:val="21"/>
                      <w:vertAlign w:val="superscript"/>
                    </w:rPr>
                    <w:t>3</w:t>
                  </w:r>
                </w:p>
              </w:tc>
              <w:tc>
                <w:tcPr>
                  <w:tcW w:w="1377" w:type="pct"/>
                  <w:vAlign w:val="center"/>
                </w:tcPr>
                <w:p>
                  <w:pPr>
                    <w:jc w:val="center"/>
                    <w:rPr>
                      <w:rFonts w:ascii="Times New Roman" w:hAnsi="Times New Roman"/>
                      <w:kern w:val="0"/>
                      <w:szCs w:val="21"/>
                    </w:rPr>
                  </w:pPr>
                  <w:r>
                    <w:rPr>
                      <w:rFonts w:hint="eastAsia" w:ascii="Times New Roman" w:hAnsi="Times New Roman"/>
                      <w:kern w:val="0"/>
                      <w:szCs w:val="21"/>
                    </w:rPr>
                    <w:t>参照河北省地方标准《环境空气质量 非甲烷总烃限值》(DB13/1577-2012)中二级标准</w:t>
                  </w:r>
                </w:p>
              </w:tc>
            </w:tr>
          </w:tbl>
          <w:p>
            <w:pPr>
              <w:adjustRightInd w:val="0"/>
              <w:spacing w:line="360" w:lineRule="auto"/>
              <w:ind w:firstLine="560" w:firstLineChars="200"/>
              <w:textAlignment w:val="baseline"/>
              <w:rPr>
                <w:rFonts w:ascii="Times New Roman" w:hAnsi="Times New Roman"/>
                <w:b/>
                <w:bCs/>
                <w:kern w:val="0"/>
                <w:sz w:val="28"/>
                <w:szCs w:val="28"/>
              </w:rPr>
            </w:pPr>
            <w:r>
              <w:rPr>
                <w:rFonts w:ascii="Times New Roman" w:hAnsi="Times New Roman"/>
                <w:b/>
                <w:bCs/>
                <w:kern w:val="0"/>
                <w:sz w:val="28"/>
                <w:szCs w:val="28"/>
              </w:rPr>
              <w:t>2、地表水</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项目所在区域地表水体</w:t>
            </w:r>
            <w:r>
              <w:rPr>
                <w:rFonts w:ascii="Times New Roman" w:hAnsi="Times New Roman"/>
                <w:sz w:val="28"/>
                <w:szCs w:val="28"/>
              </w:rPr>
              <w:t>执行《地表水环境质量标准》（GB3838-2002）</w:t>
            </w:r>
            <w:r>
              <w:rPr>
                <w:rFonts w:hint="eastAsia" w:ascii="宋体" w:hAnsi="宋体" w:cs="宋体"/>
                <w:bCs/>
                <w:sz w:val="28"/>
                <w:szCs w:val="28"/>
              </w:rPr>
              <w:t>Ⅲ</w:t>
            </w:r>
            <w:r>
              <w:rPr>
                <w:rFonts w:ascii="Times New Roman" w:hAnsi="Times New Roman"/>
                <w:sz w:val="28"/>
                <w:szCs w:val="28"/>
              </w:rPr>
              <w:t>类标准，涉及标准值见下表。</w:t>
            </w:r>
          </w:p>
          <w:p>
            <w:pPr>
              <w:wordWrap w:val="0"/>
              <w:spacing w:line="360" w:lineRule="auto"/>
              <w:jc w:val="center"/>
              <w:rPr>
                <w:rFonts w:ascii="Times New Roman" w:hAnsi="Times New Roman"/>
                <w:b/>
                <w:sz w:val="24"/>
              </w:rPr>
            </w:pPr>
            <w:bookmarkStart w:id="4" w:name="_Ref236373486"/>
          </w:p>
          <w:p>
            <w:pPr>
              <w:wordWrap w:val="0"/>
              <w:spacing w:line="360" w:lineRule="auto"/>
              <w:jc w:val="center"/>
              <w:rPr>
                <w:rFonts w:ascii="Times New Roman" w:hAnsi="Times New Roman"/>
                <w:b/>
                <w:sz w:val="24"/>
              </w:rPr>
            </w:pPr>
          </w:p>
          <w:p>
            <w:pPr>
              <w:wordWrap w:val="0"/>
              <w:spacing w:line="360" w:lineRule="auto"/>
              <w:jc w:val="center"/>
              <w:rPr>
                <w:rFonts w:ascii="Times New Roman" w:hAnsi="Times New Roman"/>
                <w:b/>
                <w:sz w:val="24"/>
              </w:rPr>
            </w:pPr>
            <w:r>
              <w:rPr>
                <w:rFonts w:ascii="Times New Roman" w:hAnsi="Times New Roman"/>
                <w:b/>
                <w:sz w:val="24"/>
              </w:rPr>
              <w:t>表</w:t>
            </w:r>
            <w:bookmarkEnd w:id="4"/>
            <w:r>
              <w:rPr>
                <w:rFonts w:hint="eastAsia" w:ascii="Times New Roman" w:hAnsi="Times New Roman"/>
                <w:b/>
                <w:sz w:val="24"/>
              </w:rPr>
              <w:t>18</w:t>
            </w:r>
            <w:r>
              <w:rPr>
                <w:rFonts w:ascii="Times New Roman" w:hAnsi="Times New Roman"/>
                <w:b/>
                <w:sz w:val="24"/>
              </w:rPr>
              <w:t xml:space="preserve">    地表水环境质量标准  单位：mg/L</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1794"/>
              <w:gridCol w:w="1254"/>
              <w:gridCol w:w="1430"/>
              <w:gridCol w:w="1141"/>
              <w:gridCol w:w="169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pct"/>
                  <w:tcBorders>
                    <w:tl2br w:val="nil"/>
                    <w:tr2bl w:val="nil"/>
                  </w:tcBorders>
                  <w:vAlign w:val="center"/>
                </w:tcPr>
                <w:p>
                  <w:pPr>
                    <w:pStyle w:val="12"/>
                    <w:jc w:val="center"/>
                    <w:rPr>
                      <w:rFonts w:ascii="Times New Roman" w:hAnsi="Times New Roman" w:eastAsiaTheme="minorEastAsia"/>
                    </w:rPr>
                  </w:pPr>
                  <w:r>
                    <w:rPr>
                      <w:rFonts w:ascii="Times New Roman" w:hAnsi="Times New Roman" w:eastAsiaTheme="minorEastAsia"/>
                    </w:rPr>
                    <w:t>常规</w:t>
                  </w:r>
                </w:p>
              </w:tc>
              <w:tc>
                <w:tcPr>
                  <w:tcW w:w="1066"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pH（无量纲）</w:t>
                  </w:r>
                </w:p>
              </w:tc>
              <w:tc>
                <w:tcPr>
                  <w:tcW w:w="745"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COD</w:t>
                  </w:r>
                </w:p>
              </w:tc>
              <w:tc>
                <w:tcPr>
                  <w:tcW w:w="850"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BOD</w:t>
                  </w:r>
                  <w:r>
                    <w:rPr>
                      <w:rFonts w:eastAsiaTheme="minorEastAsia"/>
                      <w:spacing w:val="5"/>
                      <w:szCs w:val="21"/>
                      <w:vertAlign w:val="subscript"/>
                    </w:rPr>
                    <w:t>5</w:t>
                  </w:r>
                </w:p>
              </w:tc>
              <w:tc>
                <w:tcPr>
                  <w:tcW w:w="678"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氨氮</w:t>
                  </w:r>
                </w:p>
              </w:tc>
              <w:tc>
                <w:tcPr>
                  <w:tcW w:w="1004"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溶解氧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pct"/>
                  <w:tcBorders>
                    <w:tl2br w:val="nil"/>
                    <w:tr2bl w:val="nil"/>
                  </w:tcBorders>
                  <w:vAlign w:val="center"/>
                </w:tcPr>
                <w:p>
                  <w:pPr>
                    <w:pStyle w:val="12"/>
                    <w:jc w:val="center"/>
                    <w:rPr>
                      <w:rFonts w:ascii="Times New Roman" w:hAnsi="Times New Roman" w:eastAsiaTheme="minorEastAsia"/>
                    </w:rPr>
                  </w:pPr>
                  <w:r>
                    <w:rPr>
                      <w:rFonts w:ascii="Times New Roman" w:hAnsi="Times New Roman" w:eastAsiaTheme="minorEastAsia"/>
                    </w:rPr>
                    <w:t>标准值</w:t>
                  </w:r>
                </w:p>
              </w:tc>
              <w:tc>
                <w:tcPr>
                  <w:tcW w:w="1066"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6~9</w:t>
                  </w:r>
                </w:p>
              </w:tc>
              <w:tc>
                <w:tcPr>
                  <w:tcW w:w="745"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20</w:t>
                  </w:r>
                </w:p>
              </w:tc>
              <w:tc>
                <w:tcPr>
                  <w:tcW w:w="850"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4</w:t>
                  </w:r>
                </w:p>
              </w:tc>
              <w:tc>
                <w:tcPr>
                  <w:tcW w:w="678"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cr/>
                  </w:r>
                  <w:r>
                    <w:rPr>
                      <w:rFonts w:eastAsiaTheme="minorEastAsia"/>
                      <w:spacing w:val="5"/>
                      <w:szCs w:val="21"/>
                    </w:rPr>
                    <w:t>1.0</w:t>
                  </w:r>
                </w:p>
              </w:tc>
              <w:tc>
                <w:tcPr>
                  <w:tcW w:w="1004"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pct"/>
                  <w:tcBorders>
                    <w:tl2br w:val="nil"/>
                    <w:tr2bl w:val="nil"/>
                  </w:tcBorders>
                  <w:vAlign w:val="center"/>
                </w:tcPr>
                <w:p>
                  <w:pPr>
                    <w:pStyle w:val="12"/>
                    <w:jc w:val="center"/>
                    <w:rPr>
                      <w:rFonts w:ascii="Times New Roman" w:hAnsi="Times New Roman" w:eastAsiaTheme="minorEastAsia"/>
                    </w:rPr>
                  </w:pPr>
                  <w:r>
                    <w:rPr>
                      <w:rFonts w:ascii="Times New Roman" w:hAnsi="Times New Roman" w:eastAsiaTheme="minorEastAsia"/>
                    </w:rPr>
                    <w:t>常规</w:t>
                  </w:r>
                </w:p>
              </w:tc>
              <w:tc>
                <w:tcPr>
                  <w:tcW w:w="1066"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高锰酸盐指数</w:t>
                  </w:r>
                </w:p>
              </w:tc>
              <w:tc>
                <w:tcPr>
                  <w:tcW w:w="745"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总 磷</w:t>
                  </w:r>
                </w:p>
              </w:tc>
              <w:tc>
                <w:tcPr>
                  <w:tcW w:w="850"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挥发酚</w:t>
                  </w:r>
                </w:p>
              </w:tc>
              <w:tc>
                <w:tcPr>
                  <w:tcW w:w="678"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铜</w:t>
                  </w:r>
                </w:p>
              </w:tc>
              <w:tc>
                <w:tcPr>
                  <w:tcW w:w="1004"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石油类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pct"/>
                  <w:tcBorders>
                    <w:tl2br w:val="nil"/>
                    <w:tr2bl w:val="nil"/>
                  </w:tcBorders>
                  <w:vAlign w:val="center"/>
                </w:tcPr>
                <w:p>
                  <w:pPr>
                    <w:pStyle w:val="12"/>
                    <w:jc w:val="center"/>
                    <w:rPr>
                      <w:rFonts w:ascii="Times New Roman" w:hAnsi="Times New Roman" w:eastAsiaTheme="minorEastAsia"/>
                    </w:rPr>
                  </w:pPr>
                  <w:r>
                    <w:rPr>
                      <w:rFonts w:ascii="Times New Roman" w:hAnsi="Times New Roman" w:eastAsiaTheme="minorEastAsia"/>
                    </w:rPr>
                    <w:t>标准值</w:t>
                  </w:r>
                </w:p>
              </w:tc>
              <w:tc>
                <w:tcPr>
                  <w:tcW w:w="1066"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6.0</w:t>
                  </w:r>
                </w:p>
              </w:tc>
              <w:tc>
                <w:tcPr>
                  <w:tcW w:w="745"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0.2</w:t>
                  </w:r>
                </w:p>
              </w:tc>
              <w:tc>
                <w:tcPr>
                  <w:tcW w:w="850"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0.005</w:t>
                  </w:r>
                </w:p>
              </w:tc>
              <w:tc>
                <w:tcPr>
                  <w:tcW w:w="678"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1.0</w:t>
                  </w:r>
                </w:p>
              </w:tc>
              <w:tc>
                <w:tcPr>
                  <w:tcW w:w="1004" w:type="pct"/>
                  <w:tcBorders>
                    <w:tl2br w:val="nil"/>
                    <w:tr2bl w:val="nil"/>
                  </w:tcBorders>
                  <w:vAlign w:val="center"/>
                </w:tcPr>
                <w:p>
                  <w:pPr>
                    <w:snapToGrid w:val="0"/>
                    <w:jc w:val="center"/>
                    <w:rPr>
                      <w:rFonts w:eastAsiaTheme="minorEastAsia"/>
                      <w:spacing w:val="5"/>
                      <w:szCs w:val="21"/>
                    </w:rPr>
                  </w:pPr>
                  <w:r>
                    <w:rPr>
                      <w:rFonts w:eastAsiaTheme="minorEastAsia"/>
                      <w:spacing w:val="5"/>
                      <w:szCs w:val="21"/>
                    </w:rPr>
                    <w:t>0.05</w:t>
                  </w:r>
                </w:p>
              </w:tc>
            </w:tr>
          </w:tbl>
          <w:p>
            <w:pPr>
              <w:adjustRightInd w:val="0"/>
              <w:spacing w:line="360" w:lineRule="auto"/>
              <w:ind w:firstLine="560" w:firstLineChars="200"/>
              <w:textAlignment w:val="baseline"/>
              <w:rPr>
                <w:rFonts w:ascii="Times New Roman" w:hAnsi="Times New Roman"/>
                <w:b/>
                <w:bCs/>
                <w:kern w:val="0"/>
                <w:sz w:val="28"/>
                <w:szCs w:val="28"/>
              </w:rPr>
            </w:pPr>
            <w:r>
              <w:rPr>
                <w:rFonts w:ascii="Times New Roman" w:hAnsi="Times New Roman"/>
                <w:b/>
                <w:bCs/>
                <w:kern w:val="0"/>
                <w:sz w:val="28"/>
                <w:szCs w:val="28"/>
              </w:rPr>
              <w:t>3、声环境</w:t>
            </w:r>
          </w:p>
          <w:p>
            <w:pPr>
              <w:spacing w:line="360" w:lineRule="auto"/>
              <w:ind w:firstLine="560" w:firstLineChars="200"/>
              <w:rPr>
                <w:rFonts w:ascii="Times New Roman" w:hAnsi="Times New Roman"/>
                <w:sz w:val="28"/>
                <w:szCs w:val="28"/>
              </w:rPr>
            </w:pPr>
            <w:r>
              <w:rPr>
                <w:rFonts w:ascii="Times New Roman" w:hAnsi="Times New Roman"/>
                <w:sz w:val="28"/>
                <w:szCs w:val="28"/>
              </w:rPr>
              <w:t>项目</w:t>
            </w:r>
            <w:r>
              <w:rPr>
                <w:rFonts w:hint="eastAsia" w:ascii="Times New Roman" w:hAnsi="Times New Roman"/>
                <w:sz w:val="28"/>
                <w:szCs w:val="28"/>
              </w:rPr>
              <w:t>北</w:t>
            </w:r>
            <w:r>
              <w:rPr>
                <w:rFonts w:ascii="Times New Roman" w:hAnsi="Times New Roman"/>
                <w:sz w:val="28"/>
                <w:szCs w:val="28"/>
              </w:rPr>
              <w:t>侧</w:t>
            </w:r>
            <w:r>
              <w:rPr>
                <w:rFonts w:hint="eastAsia" w:ascii="Times New Roman" w:hAnsi="Times New Roman"/>
                <w:sz w:val="28"/>
                <w:szCs w:val="28"/>
              </w:rPr>
              <w:t>同街公路（二级公路），西北侧厂界</w:t>
            </w:r>
            <w:r>
              <w:rPr>
                <w:rFonts w:ascii="Times New Roman" w:hAnsi="Times New Roman"/>
                <w:sz w:val="28"/>
                <w:szCs w:val="28"/>
              </w:rPr>
              <w:t>执行4a类标准，标准值见下表</w:t>
            </w:r>
            <w:r>
              <w:rPr>
                <w:rFonts w:hint="eastAsia" w:ascii="Times New Roman" w:hAnsi="Times New Roman"/>
                <w:sz w:val="28"/>
                <w:szCs w:val="28"/>
              </w:rPr>
              <w:t>，</w:t>
            </w:r>
            <w:r>
              <w:rPr>
                <w:rFonts w:ascii="Times New Roman" w:hAnsi="Times New Roman"/>
                <w:sz w:val="28"/>
                <w:szCs w:val="28"/>
              </w:rPr>
              <w:t>本项目</w:t>
            </w:r>
            <w:r>
              <w:rPr>
                <w:rFonts w:hint="eastAsia" w:ascii="Times New Roman" w:hAnsi="Times New Roman"/>
                <w:sz w:val="28"/>
                <w:szCs w:val="28"/>
              </w:rPr>
              <w:t>其余厂界</w:t>
            </w:r>
            <w:r>
              <w:rPr>
                <w:rFonts w:ascii="Times New Roman" w:hAnsi="Times New Roman"/>
                <w:sz w:val="28"/>
                <w:szCs w:val="28"/>
              </w:rPr>
              <w:t>声环境执行《声环境质量标准》（GB3096-2008）中的</w:t>
            </w:r>
            <w:r>
              <w:rPr>
                <w:rFonts w:hint="eastAsia" w:ascii="Times New Roman" w:hAnsi="Times New Roman"/>
                <w:sz w:val="28"/>
                <w:szCs w:val="28"/>
              </w:rPr>
              <w:t>2类</w:t>
            </w:r>
            <w:r>
              <w:rPr>
                <w:rFonts w:ascii="Times New Roman" w:hAnsi="Times New Roman"/>
                <w:sz w:val="28"/>
                <w:szCs w:val="28"/>
              </w:rPr>
              <w:t>标准，</w:t>
            </w:r>
          </w:p>
          <w:p>
            <w:pPr>
              <w:wordWrap w:val="0"/>
              <w:spacing w:line="360" w:lineRule="auto"/>
              <w:jc w:val="center"/>
              <w:rPr>
                <w:rFonts w:ascii="Times New Roman" w:hAnsi="Times New Roman"/>
                <w:b/>
                <w:sz w:val="24"/>
              </w:rPr>
            </w:pPr>
            <w:bookmarkStart w:id="5" w:name="_Ref236373458"/>
            <w:r>
              <w:rPr>
                <w:rFonts w:ascii="Times New Roman" w:hAnsi="Times New Roman"/>
                <w:b/>
                <w:sz w:val="24"/>
              </w:rPr>
              <w:t>表</w:t>
            </w:r>
            <w:bookmarkEnd w:id="5"/>
            <w:r>
              <w:rPr>
                <w:rFonts w:hint="eastAsia" w:ascii="Times New Roman" w:hAnsi="Times New Roman"/>
                <w:b/>
                <w:sz w:val="24"/>
              </w:rPr>
              <w:t xml:space="preserve">19 </w:t>
            </w:r>
            <w:r>
              <w:rPr>
                <w:rFonts w:ascii="Times New Roman" w:hAnsi="Times New Roman"/>
                <w:b/>
                <w:sz w:val="24"/>
              </w:rPr>
              <w:t xml:space="preserve">    声环境质量标准  单位：dB(A)</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834"/>
              <w:gridCol w:w="2953"/>
              <w:gridCol w:w="262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84" w:type="pct"/>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声环境功能区类别</w:t>
                  </w:r>
                </w:p>
              </w:tc>
              <w:tc>
                <w:tcPr>
                  <w:tcW w:w="1755" w:type="pct"/>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昼间</w:t>
                  </w:r>
                </w:p>
              </w:tc>
              <w:tc>
                <w:tcPr>
                  <w:tcW w:w="1561" w:type="pct"/>
                  <w:vAlign w:val="center"/>
                </w:tcPr>
                <w:p>
                  <w:pPr>
                    <w:jc w:val="center"/>
                    <w:rPr>
                      <w:rFonts w:ascii="Times New Roman" w:hAnsi="Times New Roman"/>
                      <w:szCs w:val="21"/>
                    </w:rPr>
                  </w:pPr>
                  <w:r>
                    <w:rPr>
                      <w:rFonts w:ascii="Times New Roman" w:hAnsi="Times New Roman"/>
                      <w:szCs w:val="21"/>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84" w:type="pct"/>
                  <w:tcMar>
                    <w:top w:w="17" w:type="dxa"/>
                    <w:left w:w="17" w:type="dxa"/>
                    <w:bottom w:w="0" w:type="dxa"/>
                    <w:right w:w="17" w:type="dxa"/>
                  </w:tcMar>
                  <w:vAlign w:val="center"/>
                </w:tcPr>
                <w:p>
                  <w:pPr>
                    <w:jc w:val="center"/>
                    <w:rPr>
                      <w:rFonts w:ascii="Times New Roman" w:hAnsi="Times New Roman"/>
                      <w:szCs w:val="21"/>
                    </w:rPr>
                  </w:pPr>
                  <w:r>
                    <w:rPr>
                      <w:rFonts w:hint="eastAsia" w:ascii="Times New Roman" w:hAnsi="Times New Roman"/>
                      <w:szCs w:val="21"/>
                    </w:rPr>
                    <w:t>2</w:t>
                  </w:r>
                </w:p>
              </w:tc>
              <w:tc>
                <w:tcPr>
                  <w:tcW w:w="1755" w:type="pct"/>
                  <w:tcMar>
                    <w:top w:w="17" w:type="dxa"/>
                    <w:left w:w="17" w:type="dxa"/>
                    <w:bottom w:w="0" w:type="dxa"/>
                    <w:right w:w="17" w:type="dxa"/>
                  </w:tcMar>
                  <w:vAlign w:val="center"/>
                </w:tcPr>
                <w:p>
                  <w:pPr>
                    <w:jc w:val="center"/>
                    <w:rPr>
                      <w:rFonts w:ascii="Times New Roman" w:hAnsi="Times New Roman"/>
                      <w:szCs w:val="21"/>
                    </w:rPr>
                  </w:pPr>
                  <w:r>
                    <w:rPr>
                      <w:rFonts w:hint="eastAsia" w:ascii="Times New Roman" w:hAnsi="Times New Roman"/>
                      <w:szCs w:val="21"/>
                    </w:rPr>
                    <w:t>60</w:t>
                  </w:r>
                </w:p>
              </w:tc>
              <w:tc>
                <w:tcPr>
                  <w:tcW w:w="1561" w:type="pct"/>
                  <w:tcMar>
                    <w:top w:w="17" w:type="dxa"/>
                    <w:left w:w="17" w:type="dxa"/>
                    <w:bottom w:w="0" w:type="dxa"/>
                    <w:right w:w="17" w:type="dxa"/>
                  </w:tcMar>
                  <w:vAlign w:val="center"/>
                </w:tcPr>
                <w:p>
                  <w:pPr>
                    <w:jc w:val="center"/>
                    <w:rPr>
                      <w:rFonts w:ascii="Times New Roman" w:hAnsi="Times New Roman"/>
                      <w:szCs w:val="21"/>
                    </w:rPr>
                  </w:pPr>
                  <w:r>
                    <w:rPr>
                      <w:rFonts w:hint="eastAsia" w:ascii="Times New Roman" w:hAnsi="Times New Roman"/>
                      <w:szCs w:val="21"/>
                    </w:rPr>
                    <w:t>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684" w:type="pct"/>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4a</w:t>
                  </w:r>
                </w:p>
              </w:tc>
              <w:tc>
                <w:tcPr>
                  <w:tcW w:w="1755" w:type="pct"/>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70</w:t>
                  </w:r>
                </w:p>
              </w:tc>
              <w:tc>
                <w:tcPr>
                  <w:tcW w:w="1561" w:type="pct"/>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55</w:t>
                  </w:r>
                </w:p>
              </w:tc>
            </w:tr>
          </w:tbl>
          <w:p>
            <w:pPr>
              <w:adjustRightInd w:val="0"/>
              <w:spacing w:line="360" w:lineRule="auto"/>
              <w:ind w:firstLine="560" w:firstLineChars="200"/>
              <w:textAlignment w:val="baseline"/>
              <w:rPr>
                <w:rFonts w:ascii="Times New Roman" w:hAnsi="Times New Roman"/>
                <w:b/>
                <w:bCs/>
                <w:kern w:val="0"/>
                <w:sz w:val="28"/>
                <w:szCs w:val="28"/>
              </w:rPr>
            </w:pPr>
            <w:r>
              <w:rPr>
                <w:rFonts w:ascii="Times New Roman" w:hAnsi="Times New Roman"/>
                <w:b/>
                <w:bCs/>
                <w:kern w:val="0"/>
                <w:sz w:val="28"/>
                <w:szCs w:val="28"/>
              </w:rPr>
              <w:t>4、地下水</w:t>
            </w:r>
          </w:p>
          <w:p>
            <w:pPr>
              <w:adjustRightInd w:val="0"/>
              <w:spacing w:line="360" w:lineRule="auto"/>
              <w:ind w:firstLine="548" w:firstLineChars="196"/>
              <w:textAlignment w:val="baseline"/>
              <w:rPr>
                <w:rFonts w:ascii="Times New Roman" w:hAnsi="Times New Roman"/>
                <w:bCs/>
                <w:kern w:val="0"/>
                <w:sz w:val="28"/>
                <w:szCs w:val="28"/>
              </w:rPr>
            </w:pPr>
            <w:r>
              <w:rPr>
                <w:rFonts w:ascii="Times New Roman" w:hAnsi="Times New Roman"/>
                <w:bCs/>
                <w:kern w:val="0"/>
                <w:sz w:val="28"/>
                <w:szCs w:val="28"/>
              </w:rPr>
              <w:t>本项目所处区域地下水环境执行《地下水质量标准》（GB/T14848-2017）</w:t>
            </w:r>
            <w:r>
              <w:rPr>
                <w:rFonts w:hint="eastAsia" w:ascii="宋体" w:hAnsi="宋体" w:cs="宋体"/>
                <w:bCs/>
                <w:kern w:val="0"/>
                <w:sz w:val="28"/>
                <w:szCs w:val="28"/>
              </w:rPr>
              <w:t>Ⅲ</w:t>
            </w:r>
            <w:r>
              <w:rPr>
                <w:rFonts w:ascii="Times New Roman" w:hAnsi="Times New Roman"/>
                <w:bCs/>
                <w:kern w:val="0"/>
                <w:sz w:val="28"/>
                <w:szCs w:val="28"/>
              </w:rPr>
              <w:t>类标准，涉及标准值值见下表。</w:t>
            </w:r>
          </w:p>
          <w:p>
            <w:pPr>
              <w:wordWrap w:val="0"/>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20</w:t>
            </w:r>
            <w:r>
              <w:rPr>
                <w:rFonts w:ascii="Times New Roman" w:hAnsi="Times New Roman"/>
                <w:b/>
                <w:sz w:val="24"/>
              </w:rPr>
              <w:t xml:space="preserve">   地下水环境质量标准</w:t>
            </w:r>
          </w:p>
          <w:tbl>
            <w:tblPr>
              <w:tblStyle w:val="26"/>
              <w:tblW w:w="8380"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981"/>
              <w:gridCol w:w="1290"/>
              <w:gridCol w:w="1400"/>
              <w:gridCol w:w="270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jc w:val="center"/>
                    <w:rPr>
                      <w:rFonts w:ascii="Times New Roman" w:hAnsi="Times New Roman"/>
                      <w:kern w:val="0"/>
                      <w:szCs w:val="21"/>
                    </w:rPr>
                  </w:pPr>
                  <w:r>
                    <w:rPr>
                      <w:rFonts w:ascii="Times New Roman" w:hAnsi="Times New Roman"/>
                      <w:kern w:val="0"/>
                      <w:szCs w:val="21"/>
                    </w:rPr>
                    <w:t>项目</w:t>
                  </w:r>
                </w:p>
              </w:tc>
              <w:tc>
                <w:tcPr>
                  <w:tcW w:w="1290" w:type="dxa"/>
                  <w:shd w:val="clear" w:color="auto" w:fill="auto"/>
                  <w:vAlign w:val="center"/>
                </w:tcPr>
                <w:p>
                  <w:pPr>
                    <w:jc w:val="center"/>
                    <w:rPr>
                      <w:rFonts w:ascii="Times New Roman" w:hAnsi="Times New Roman"/>
                      <w:kern w:val="0"/>
                      <w:szCs w:val="21"/>
                    </w:rPr>
                  </w:pPr>
                  <w:r>
                    <w:rPr>
                      <w:rFonts w:ascii="Times New Roman" w:hAnsi="Times New Roman"/>
                      <w:kern w:val="0"/>
                      <w:szCs w:val="21"/>
                    </w:rPr>
                    <w:t>单位</w:t>
                  </w:r>
                </w:p>
              </w:tc>
              <w:tc>
                <w:tcPr>
                  <w:tcW w:w="1400" w:type="dxa"/>
                  <w:shd w:val="clear" w:color="auto" w:fill="auto"/>
                  <w:vAlign w:val="center"/>
                </w:tcPr>
                <w:p>
                  <w:pPr>
                    <w:jc w:val="center"/>
                    <w:rPr>
                      <w:rFonts w:ascii="Times New Roman" w:hAnsi="Times New Roman"/>
                      <w:kern w:val="0"/>
                      <w:szCs w:val="21"/>
                    </w:rPr>
                  </w:pPr>
                  <w:r>
                    <w:rPr>
                      <w:rFonts w:ascii="Times New Roman" w:hAnsi="Times New Roman"/>
                      <w:kern w:val="0"/>
                      <w:szCs w:val="21"/>
                    </w:rPr>
                    <w:t>标准值</w:t>
                  </w:r>
                </w:p>
              </w:tc>
              <w:tc>
                <w:tcPr>
                  <w:tcW w:w="2709" w:type="dxa"/>
                  <w:shd w:val="clear" w:color="auto" w:fill="auto"/>
                  <w:vAlign w:val="center"/>
                </w:tcPr>
                <w:p>
                  <w:pPr>
                    <w:jc w:val="center"/>
                    <w:rPr>
                      <w:rFonts w:ascii="Times New Roman" w:hAnsi="Times New Roman"/>
                      <w:kern w:val="0"/>
                      <w:szCs w:val="21"/>
                    </w:rPr>
                  </w:pPr>
                  <w:r>
                    <w:rPr>
                      <w:rFonts w:ascii="Times New Roman" w:hAnsi="Times New Roman"/>
                      <w:kern w:val="0"/>
                      <w:szCs w:val="21"/>
                    </w:rPr>
                    <w:t>执行类别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eastAsia="Times New Roman" w:cs="Times New Roman"/>
                      <w:szCs w:val="30"/>
                    </w:rPr>
                    <w:t>pH</w:t>
                  </w:r>
                </w:p>
              </w:tc>
              <w:tc>
                <w:tcPr>
                  <w:tcW w:w="1290" w:type="dxa"/>
                  <w:shd w:val="clear" w:color="auto" w:fill="auto"/>
                  <w:vAlign w:val="center"/>
                </w:tcPr>
                <w:p>
                  <w:pPr>
                    <w:jc w:val="center"/>
                    <w:rPr>
                      <w:rFonts w:ascii="Times New Roman" w:hAnsi="Times New Roman"/>
                      <w:kern w:val="0"/>
                      <w:szCs w:val="21"/>
                    </w:rPr>
                  </w:pPr>
                  <w:r>
                    <w:rPr>
                      <w:rFonts w:ascii="Times New Roman" w:hAnsi="Times New Roman"/>
                      <w:kern w:val="0"/>
                      <w:szCs w:val="21"/>
                    </w:rPr>
                    <w:t>无量纲</w:t>
                  </w:r>
                </w:p>
              </w:tc>
              <w:tc>
                <w:tcPr>
                  <w:tcW w:w="1400" w:type="dxa"/>
                  <w:shd w:val="clear" w:color="auto" w:fill="auto"/>
                  <w:vAlign w:val="center"/>
                </w:tcPr>
                <w:p>
                  <w:pPr>
                    <w:jc w:val="center"/>
                    <w:rPr>
                      <w:rFonts w:ascii="Times New Roman" w:hAnsi="Times New Roman"/>
                      <w:kern w:val="0"/>
                      <w:szCs w:val="21"/>
                    </w:rPr>
                  </w:pPr>
                  <w:r>
                    <w:rPr>
                      <w:rFonts w:ascii="Times New Roman" w:hAnsi="Times New Roman"/>
                      <w:kern w:val="0"/>
                      <w:szCs w:val="21"/>
                    </w:rPr>
                    <w:t>6.5～8.5</w:t>
                  </w:r>
                </w:p>
              </w:tc>
              <w:tc>
                <w:tcPr>
                  <w:tcW w:w="2709" w:type="dxa"/>
                  <w:vMerge w:val="restart"/>
                  <w:shd w:val="clear" w:color="auto" w:fill="auto"/>
                  <w:vAlign w:val="center"/>
                </w:tcPr>
                <w:p>
                  <w:pPr>
                    <w:jc w:val="center"/>
                    <w:rPr>
                      <w:rFonts w:ascii="Times New Roman" w:hAnsi="Times New Roman"/>
                      <w:kern w:val="0"/>
                      <w:szCs w:val="21"/>
                    </w:rPr>
                  </w:pPr>
                  <w:r>
                    <w:rPr>
                      <w:rFonts w:ascii="Times New Roman" w:hAnsi="Times New Roman"/>
                      <w:kern w:val="0"/>
                      <w:szCs w:val="21"/>
                    </w:rPr>
                    <w:t>《地下水质量标准》（GB/T14848-2017）</w:t>
                  </w:r>
                  <w:r>
                    <w:rPr>
                      <w:rFonts w:hint="eastAsia" w:ascii="宋体" w:hAnsi="宋体" w:cs="宋体"/>
                      <w:kern w:val="0"/>
                      <w:szCs w:val="21"/>
                    </w:rPr>
                    <w:t>Ⅲ</w:t>
                  </w:r>
                  <w:r>
                    <w:rPr>
                      <w:rFonts w:ascii="Times New Roman" w:hAnsi="Times New Roman"/>
                      <w:kern w:val="0"/>
                      <w:szCs w:val="21"/>
                    </w:rPr>
                    <w:t>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总硬度</w:t>
                  </w:r>
                </w:p>
              </w:tc>
              <w:tc>
                <w:tcPr>
                  <w:tcW w:w="1290" w:type="dxa"/>
                  <w:shd w:val="clear" w:color="auto" w:fill="auto"/>
                  <w:vAlign w:val="center"/>
                </w:tcPr>
                <w:p>
                  <w:pPr>
                    <w:jc w:val="center"/>
                    <w:rPr>
                      <w:rFonts w:ascii="Times New Roman" w:hAnsi="Times New Roman"/>
                      <w:kern w:val="0"/>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≤450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溶解性总固体</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≤1000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硫酸盐</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≤250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氯化物</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≤250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氟化物</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≤1.0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铁</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≤0.3</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锰</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≤0.1</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铅</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cs="Times New Roman"/>
                      <w:szCs w:val="30"/>
                    </w:rPr>
                  </w:pPr>
                  <w:r>
                    <w:rPr>
                      <w:rFonts w:eastAsia="Times New Roman" w:cs="Times New Roman"/>
                      <w:szCs w:val="30"/>
                    </w:rPr>
                    <w:t>≤0.01</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镉</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cs="Times New Roman"/>
                      <w:szCs w:val="30"/>
                    </w:rPr>
                  </w:pPr>
                  <w:r>
                    <w:rPr>
                      <w:rFonts w:eastAsia="Times New Roman" w:cs="Times New Roman"/>
                      <w:szCs w:val="30"/>
                    </w:rPr>
                    <w:t>≤0.005</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汞</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≤0.001</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砷</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cs="Times New Roman"/>
                      <w:szCs w:val="30"/>
                    </w:rPr>
                  </w:pPr>
                  <w:r>
                    <w:rPr>
                      <w:rFonts w:eastAsia="Times New Roman" w:cs="Times New Roman"/>
                      <w:szCs w:val="30"/>
                    </w:rPr>
                    <w:t>≤0.01</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六价铬</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≤0.05</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挥发酚</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≤0.002</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氰化物</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≤0.05</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cs="Times New Roman"/>
                      <w:szCs w:val="30"/>
                    </w:rPr>
                  </w:pPr>
                  <w:r>
                    <w:rPr>
                      <w:rFonts w:cs="Times New Roman"/>
                      <w:szCs w:val="30"/>
                    </w:rPr>
                    <w:t>耗氧量（</w:t>
                  </w:r>
                  <w:r>
                    <w:rPr>
                      <w:rFonts w:eastAsia="Times New Roman" w:cs="Times New Roman"/>
                      <w:szCs w:val="30"/>
                    </w:rPr>
                    <w:t>COD</w:t>
                  </w:r>
                  <w:r>
                    <w:rPr>
                      <w:rFonts w:eastAsia="Times New Roman" w:cs="Times New Roman"/>
                      <w:szCs w:val="30"/>
                      <w:vertAlign w:val="subscript"/>
                    </w:rPr>
                    <w:t>Mn</w:t>
                  </w:r>
                  <w:r>
                    <w:rPr>
                      <w:rFonts w:cs="Times New Roman"/>
                      <w:szCs w:val="30"/>
                    </w:rPr>
                    <w:t>法，以</w:t>
                  </w:r>
                  <w:r>
                    <w:rPr>
                      <w:rFonts w:eastAsia="Times New Roman" w:cs="Times New Roman"/>
                      <w:szCs w:val="30"/>
                    </w:rPr>
                    <w:t>O</w:t>
                  </w:r>
                  <w:r>
                    <w:rPr>
                      <w:rFonts w:eastAsia="Times New Roman" w:cs="Times New Roman"/>
                      <w:szCs w:val="30"/>
                      <w:vertAlign w:val="subscript"/>
                    </w:rPr>
                    <w:t>2</w:t>
                  </w:r>
                  <w:r>
                    <w:rPr>
                      <w:rFonts w:cs="Times New Roman"/>
                      <w:szCs w:val="30"/>
                    </w:rPr>
                    <w:t>计）</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≤3.0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硝酸盐氮</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≤20.0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亚硝酸盐氮</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cs="Times New Roman"/>
                      <w:szCs w:val="30"/>
                    </w:rPr>
                  </w:pPr>
                  <w:r>
                    <w:rPr>
                      <w:rFonts w:eastAsia="Times New Roman" w:cs="Times New Roman"/>
                      <w:szCs w:val="30"/>
                    </w:rPr>
                    <w:t>≤1.0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氨氮</w:t>
                  </w:r>
                </w:p>
              </w:tc>
              <w:tc>
                <w:tcPr>
                  <w:tcW w:w="1290" w:type="dxa"/>
                  <w:shd w:val="clear" w:color="auto" w:fill="auto"/>
                  <w:vAlign w:val="center"/>
                </w:tcPr>
                <w:p>
                  <w:pPr>
                    <w:jc w:val="center"/>
                    <w:rPr>
                      <w:rFonts w:ascii="Times New Roman" w:hAnsi="Times New Roman"/>
                      <w:szCs w:val="21"/>
                    </w:rPr>
                  </w:pPr>
                  <w:r>
                    <w:rPr>
                      <w:rFonts w:ascii="Times New Roman" w:hAnsi="Times New Roman"/>
                      <w:kern w:val="0"/>
                      <w:szCs w:val="21"/>
                    </w:rPr>
                    <w:t>mg/L</w:t>
                  </w:r>
                </w:p>
              </w:tc>
              <w:tc>
                <w:tcPr>
                  <w:tcW w:w="1400" w:type="dxa"/>
                  <w:shd w:val="clear" w:color="auto" w:fill="auto"/>
                  <w:vAlign w:val="center"/>
                </w:tcPr>
                <w:p>
                  <w:pPr>
                    <w:pStyle w:val="56"/>
                    <w:rPr>
                      <w:rFonts w:cs="Times New Roman"/>
                      <w:szCs w:val="30"/>
                    </w:rPr>
                  </w:pPr>
                  <w:r>
                    <w:rPr>
                      <w:rFonts w:eastAsia="Times New Roman" w:cs="Times New Roman"/>
                      <w:szCs w:val="30"/>
                    </w:rPr>
                    <w:t>≤0.5</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eastAsia="Times New Roman" w:cs="Times New Roman"/>
                      <w:szCs w:val="30"/>
                    </w:rPr>
                  </w:pPr>
                  <w:r>
                    <w:rPr>
                      <w:rFonts w:cs="Times New Roman"/>
                      <w:szCs w:val="30"/>
                    </w:rPr>
                    <w:t>总大肠菌群</w:t>
                  </w:r>
                </w:p>
              </w:tc>
              <w:tc>
                <w:tcPr>
                  <w:tcW w:w="1290" w:type="dxa"/>
                  <w:shd w:val="clear" w:color="auto" w:fill="auto"/>
                  <w:vAlign w:val="center"/>
                </w:tcPr>
                <w:p>
                  <w:pPr>
                    <w:pStyle w:val="56"/>
                    <w:rPr>
                      <w:rFonts w:eastAsia="Times New Roman" w:cs="Times New Roman"/>
                      <w:szCs w:val="30"/>
                    </w:rPr>
                  </w:pPr>
                  <w:r>
                    <w:rPr>
                      <w:rFonts w:cs="Times New Roman"/>
                      <w:szCs w:val="30"/>
                    </w:rPr>
                    <w:t>CFU</w:t>
                  </w:r>
                  <w:r>
                    <w:rPr>
                      <w:rFonts w:eastAsia="Times New Roman" w:cs="Times New Roman"/>
                      <w:szCs w:val="30"/>
                    </w:rPr>
                    <w:t>/100mL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≤3.0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cs="Times New Roman"/>
                      <w:szCs w:val="30"/>
                    </w:rPr>
                  </w:pPr>
                  <w:r>
                    <w:rPr>
                      <w:rFonts w:cs="Times New Roman"/>
                      <w:szCs w:val="30"/>
                    </w:rPr>
                    <w:t>菌落总数</w:t>
                  </w:r>
                </w:p>
              </w:tc>
              <w:tc>
                <w:tcPr>
                  <w:tcW w:w="1290" w:type="dxa"/>
                  <w:shd w:val="clear" w:color="auto" w:fill="auto"/>
                  <w:vAlign w:val="center"/>
                </w:tcPr>
                <w:p>
                  <w:pPr>
                    <w:pStyle w:val="56"/>
                    <w:rPr>
                      <w:rFonts w:eastAsia="Times New Roman" w:cs="Times New Roman"/>
                      <w:szCs w:val="30"/>
                    </w:rPr>
                  </w:pPr>
                  <w:r>
                    <w:rPr>
                      <w:rFonts w:cs="Times New Roman"/>
                      <w:szCs w:val="30"/>
                    </w:rPr>
                    <w:t>CFU</w:t>
                  </w:r>
                  <w:r>
                    <w:rPr>
                      <w:rFonts w:eastAsia="Times New Roman" w:cs="Times New Roman"/>
                      <w:szCs w:val="30"/>
                    </w:rPr>
                    <w:t>/mL</w:t>
                  </w:r>
                </w:p>
              </w:tc>
              <w:tc>
                <w:tcPr>
                  <w:tcW w:w="1400" w:type="dxa"/>
                  <w:shd w:val="clear" w:color="auto" w:fill="auto"/>
                  <w:vAlign w:val="center"/>
                </w:tcPr>
                <w:p>
                  <w:pPr>
                    <w:pStyle w:val="56"/>
                    <w:rPr>
                      <w:rFonts w:eastAsia="Times New Roman" w:cs="Times New Roman"/>
                      <w:szCs w:val="30"/>
                    </w:rPr>
                  </w:pPr>
                  <w:r>
                    <w:rPr>
                      <w:rFonts w:eastAsia="Times New Roman" w:cs="Times New Roman"/>
                      <w:szCs w:val="30"/>
                    </w:rPr>
                    <w:t>≤100</w:t>
                  </w:r>
                </w:p>
              </w:tc>
              <w:tc>
                <w:tcPr>
                  <w:tcW w:w="2709" w:type="dxa"/>
                  <w:vMerge w:val="continue"/>
                  <w:shd w:val="clear" w:color="auto" w:fill="auto"/>
                  <w:vAlign w:val="center"/>
                </w:tcPr>
                <w:p>
                  <w:pPr>
                    <w:jc w:val="center"/>
                    <w:rPr>
                      <w:rFonts w:ascii="Times New Roman" w:hAnsi="Times New Roman"/>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81" w:type="dxa"/>
                  <w:shd w:val="clear" w:color="auto" w:fill="auto"/>
                  <w:vAlign w:val="center"/>
                </w:tcPr>
                <w:p>
                  <w:pPr>
                    <w:pStyle w:val="56"/>
                    <w:rPr>
                      <w:rFonts w:cs="Times New Roman"/>
                      <w:szCs w:val="30"/>
                    </w:rPr>
                  </w:pPr>
                  <w:r>
                    <w:rPr>
                      <w:rFonts w:cs="Times New Roman"/>
                      <w:szCs w:val="30"/>
                    </w:rPr>
                    <w:t>石油类</w:t>
                  </w:r>
                </w:p>
              </w:tc>
              <w:tc>
                <w:tcPr>
                  <w:tcW w:w="1290" w:type="dxa"/>
                  <w:shd w:val="clear" w:color="auto" w:fill="auto"/>
                  <w:vAlign w:val="center"/>
                </w:tcPr>
                <w:p>
                  <w:pPr>
                    <w:pStyle w:val="56"/>
                    <w:rPr>
                      <w:rFonts w:cs="Times New Roman"/>
                      <w:szCs w:val="30"/>
                    </w:rPr>
                  </w:pPr>
                  <w:r>
                    <w:rPr>
                      <w:rFonts w:cs="Times New Roman"/>
                      <w:kern w:val="0"/>
                      <w:szCs w:val="21"/>
                    </w:rPr>
                    <w:t>mg/L</w:t>
                  </w:r>
                </w:p>
              </w:tc>
              <w:tc>
                <w:tcPr>
                  <w:tcW w:w="1400" w:type="dxa"/>
                  <w:shd w:val="clear" w:color="auto" w:fill="auto"/>
                  <w:vAlign w:val="center"/>
                </w:tcPr>
                <w:p>
                  <w:pPr>
                    <w:jc w:val="center"/>
                    <w:rPr>
                      <w:rFonts w:ascii="Times New Roman" w:hAnsi="Times New Roman"/>
                      <w:szCs w:val="21"/>
                    </w:rPr>
                  </w:pPr>
                  <w:r>
                    <w:rPr>
                      <w:rFonts w:eastAsia="Times New Roman"/>
                      <w:szCs w:val="30"/>
                    </w:rPr>
                    <w:t>≤</w:t>
                  </w:r>
                  <w:r>
                    <w:rPr>
                      <w:rFonts w:ascii="Times New Roman" w:hAnsi="Times New Roman"/>
                      <w:szCs w:val="21"/>
                    </w:rPr>
                    <w:t>0.</w:t>
                  </w:r>
                  <w:r>
                    <w:rPr>
                      <w:rFonts w:hint="eastAsia" w:ascii="Times New Roman" w:hAnsi="Times New Roman"/>
                      <w:szCs w:val="21"/>
                    </w:rPr>
                    <w:t>05</w:t>
                  </w:r>
                </w:p>
              </w:tc>
              <w:tc>
                <w:tcPr>
                  <w:tcW w:w="2709" w:type="dxa"/>
                  <w:shd w:val="clear" w:color="auto" w:fill="auto"/>
                  <w:vAlign w:val="center"/>
                </w:tcPr>
                <w:p>
                  <w:pPr>
                    <w:jc w:val="center"/>
                    <w:rPr>
                      <w:rFonts w:ascii="Times New Roman" w:hAnsi="Times New Roman"/>
                      <w:szCs w:val="21"/>
                    </w:rPr>
                  </w:pPr>
                  <w:r>
                    <w:rPr>
                      <w:rFonts w:hint="eastAsia" w:ascii="Times New Roman" w:hAnsi="Times New Roman"/>
                      <w:szCs w:val="21"/>
                    </w:rPr>
                    <w:t>参照《地表水环境质量标准》（GB3838-2002）Ⅲ类标准。</w:t>
                  </w:r>
                </w:p>
              </w:tc>
            </w:tr>
          </w:tbl>
          <w:p>
            <w:pPr>
              <w:spacing w:line="360" w:lineRule="auto"/>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71"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pPr>
              <w:spacing w:line="360" w:lineRule="auto"/>
              <w:ind w:left="-178" w:leftChars="-85" w:right="-159" w:rightChars="-76"/>
              <w:jc w:val="center"/>
              <w:rPr>
                <w:rFonts w:ascii="Times New Roman" w:hAnsi="Times New Roman"/>
                <w:b/>
                <w:sz w:val="28"/>
                <w:szCs w:val="28"/>
              </w:rPr>
            </w:pPr>
            <w:r>
              <w:rPr>
                <w:rFonts w:ascii="Times New Roman" w:hAnsi="Times New Roman"/>
                <w:b/>
                <w:sz w:val="28"/>
                <w:szCs w:val="28"/>
              </w:rPr>
              <w:t>污</w:t>
            </w:r>
          </w:p>
          <w:p>
            <w:pPr>
              <w:spacing w:line="360" w:lineRule="auto"/>
              <w:ind w:left="-178" w:leftChars="-85" w:right="-159" w:rightChars="-76"/>
              <w:jc w:val="center"/>
              <w:rPr>
                <w:rFonts w:ascii="Times New Roman" w:hAnsi="Times New Roman"/>
                <w:b/>
                <w:sz w:val="28"/>
                <w:szCs w:val="28"/>
              </w:rPr>
            </w:pPr>
            <w:r>
              <w:rPr>
                <w:rFonts w:ascii="Times New Roman" w:hAnsi="Times New Roman"/>
                <w:b/>
                <w:sz w:val="28"/>
                <w:szCs w:val="28"/>
              </w:rPr>
              <w:t>染</w:t>
            </w:r>
          </w:p>
          <w:p>
            <w:pPr>
              <w:spacing w:line="360" w:lineRule="auto"/>
              <w:ind w:left="-178" w:leftChars="-85" w:right="-159" w:rightChars="-76"/>
              <w:jc w:val="center"/>
              <w:rPr>
                <w:rFonts w:ascii="Times New Roman" w:hAnsi="Times New Roman"/>
                <w:b/>
                <w:sz w:val="28"/>
                <w:szCs w:val="28"/>
              </w:rPr>
            </w:pPr>
            <w:r>
              <w:rPr>
                <w:rFonts w:ascii="Times New Roman" w:hAnsi="Times New Roman"/>
                <w:b/>
                <w:sz w:val="28"/>
                <w:szCs w:val="28"/>
              </w:rPr>
              <w:t>物</w:t>
            </w:r>
          </w:p>
          <w:p>
            <w:pPr>
              <w:spacing w:line="360" w:lineRule="auto"/>
              <w:ind w:left="-178" w:leftChars="-85" w:right="-159" w:rightChars="-76"/>
              <w:jc w:val="center"/>
              <w:rPr>
                <w:rFonts w:ascii="Times New Roman" w:hAnsi="Times New Roman"/>
                <w:b/>
                <w:sz w:val="28"/>
                <w:szCs w:val="28"/>
              </w:rPr>
            </w:pPr>
            <w:r>
              <w:rPr>
                <w:rFonts w:ascii="Times New Roman" w:hAnsi="Times New Roman"/>
                <w:b/>
                <w:sz w:val="28"/>
                <w:szCs w:val="28"/>
              </w:rPr>
              <w:t>排</w:t>
            </w:r>
          </w:p>
          <w:p>
            <w:pPr>
              <w:spacing w:line="360" w:lineRule="auto"/>
              <w:ind w:left="-178" w:leftChars="-85" w:right="-159" w:rightChars="-76"/>
              <w:jc w:val="center"/>
              <w:rPr>
                <w:rFonts w:ascii="Times New Roman" w:hAnsi="Times New Roman"/>
                <w:b/>
                <w:sz w:val="28"/>
                <w:szCs w:val="28"/>
              </w:rPr>
            </w:pPr>
            <w:r>
              <w:rPr>
                <w:rFonts w:ascii="Times New Roman" w:hAnsi="Times New Roman"/>
                <w:b/>
                <w:sz w:val="28"/>
                <w:szCs w:val="28"/>
              </w:rPr>
              <w:t>放</w:t>
            </w:r>
          </w:p>
          <w:p>
            <w:pPr>
              <w:spacing w:line="360" w:lineRule="auto"/>
              <w:ind w:left="-178" w:leftChars="-85" w:right="-159" w:rightChars="-76"/>
              <w:jc w:val="center"/>
              <w:rPr>
                <w:rFonts w:ascii="Times New Roman" w:hAnsi="Times New Roman"/>
                <w:b/>
                <w:sz w:val="28"/>
                <w:szCs w:val="28"/>
              </w:rPr>
            </w:pPr>
            <w:r>
              <w:rPr>
                <w:rFonts w:ascii="Times New Roman" w:hAnsi="Times New Roman"/>
                <w:b/>
                <w:sz w:val="28"/>
                <w:szCs w:val="28"/>
              </w:rPr>
              <w:t>标</w:t>
            </w:r>
          </w:p>
          <w:p>
            <w:pPr>
              <w:spacing w:line="360" w:lineRule="auto"/>
              <w:ind w:left="-178" w:leftChars="-85" w:right="-159" w:rightChars="-76"/>
              <w:jc w:val="center"/>
              <w:rPr>
                <w:rFonts w:ascii="Times New Roman" w:hAnsi="Times New Roman"/>
                <w:sz w:val="24"/>
              </w:rPr>
            </w:pPr>
            <w:r>
              <w:rPr>
                <w:rFonts w:ascii="Times New Roman" w:hAnsi="Times New Roman"/>
                <w:b/>
                <w:sz w:val="28"/>
                <w:szCs w:val="28"/>
              </w:rPr>
              <w:t>准</w:t>
            </w:r>
          </w:p>
        </w:tc>
        <w:tc>
          <w:tcPr>
            <w:tcW w:w="4621"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auto"/>
              <w:ind w:firstLine="560" w:firstLineChars="200"/>
              <w:textAlignment w:val="baseline"/>
              <w:rPr>
                <w:rFonts w:ascii="Times New Roman" w:hAnsi="Times New Roman"/>
                <w:b/>
                <w:bCs/>
                <w:kern w:val="0"/>
                <w:sz w:val="28"/>
                <w:szCs w:val="28"/>
              </w:rPr>
            </w:pPr>
            <w:r>
              <w:rPr>
                <w:rFonts w:ascii="Times New Roman" w:hAnsi="Times New Roman"/>
                <w:b/>
                <w:bCs/>
                <w:kern w:val="0"/>
                <w:sz w:val="28"/>
                <w:szCs w:val="28"/>
              </w:rPr>
              <w:t>1、废气</w:t>
            </w:r>
          </w:p>
          <w:p>
            <w:pPr>
              <w:adjustRightInd w:val="0"/>
              <w:spacing w:line="360" w:lineRule="auto"/>
              <w:ind w:firstLine="560" w:firstLineChars="200"/>
              <w:textAlignment w:val="baseline"/>
              <w:rPr>
                <w:rFonts w:ascii="Times New Roman" w:hAnsi="Times New Roman"/>
                <w:kern w:val="0"/>
                <w:sz w:val="28"/>
                <w:szCs w:val="28"/>
              </w:rPr>
            </w:pPr>
            <w:r>
              <w:rPr>
                <w:rFonts w:ascii="Times New Roman" w:hAnsi="Times New Roman"/>
                <w:kern w:val="0"/>
                <w:sz w:val="28"/>
                <w:szCs w:val="28"/>
              </w:rPr>
              <w:t>本项目废气排放执行《大气污染物综合排放标准》（GB16297-1996）表2中无组织排放</w:t>
            </w:r>
            <w:r>
              <w:rPr>
                <w:rFonts w:ascii="Times New Roman" w:hAnsi="Times New Roman"/>
                <w:bCs/>
                <w:kern w:val="0"/>
                <w:sz w:val="28"/>
                <w:szCs w:val="28"/>
              </w:rPr>
              <w:t>监控浓度限值</w:t>
            </w:r>
            <w:r>
              <w:rPr>
                <w:rFonts w:ascii="Times New Roman" w:hAnsi="Times New Roman"/>
                <w:kern w:val="0"/>
                <w:sz w:val="28"/>
                <w:szCs w:val="28"/>
              </w:rPr>
              <w:t>，见下表。</w:t>
            </w:r>
          </w:p>
          <w:p>
            <w:pPr>
              <w:widowControl/>
              <w:autoSpaceDN w:val="0"/>
              <w:snapToGrid w:val="0"/>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 xml:space="preserve">21  </w:t>
            </w:r>
            <w:r>
              <w:rPr>
                <w:rFonts w:ascii="Times New Roman" w:hAnsi="Times New Roman"/>
                <w:b/>
                <w:sz w:val="24"/>
              </w:rPr>
              <w:t xml:space="preserve"> 大气污染物综合排放标准  单位：mg/m</w:t>
            </w:r>
            <w:r>
              <w:rPr>
                <w:rFonts w:ascii="Times New Roman" w:hAnsi="Times New Roman"/>
                <w:b/>
                <w:sz w:val="24"/>
                <w:vertAlign w:val="superscript"/>
              </w:rPr>
              <w:t>3</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03"/>
              <w:gridCol w:w="391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76" w:type="pct"/>
                  <w:vAlign w:val="center"/>
                </w:tcPr>
                <w:p>
                  <w:pPr>
                    <w:jc w:val="center"/>
                    <w:rPr>
                      <w:rFonts w:ascii="Times New Roman" w:hAnsi="Times New Roman"/>
                      <w:szCs w:val="21"/>
                    </w:rPr>
                  </w:pPr>
                  <w:r>
                    <w:rPr>
                      <w:rFonts w:ascii="Times New Roman" w:hAnsi="Times New Roman"/>
                      <w:szCs w:val="21"/>
                    </w:rPr>
                    <w:t>污染物名称</w:t>
                  </w:r>
                </w:p>
              </w:tc>
              <w:tc>
                <w:tcPr>
                  <w:tcW w:w="2324" w:type="pct"/>
                  <w:vAlign w:val="center"/>
                </w:tcPr>
                <w:p>
                  <w:pPr>
                    <w:jc w:val="center"/>
                    <w:rPr>
                      <w:rFonts w:ascii="Times New Roman" w:hAnsi="Times New Roman"/>
                      <w:bCs/>
                      <w:szCs w:val="21"/>
                    </w:rPr>
                  </w:pPr>
                  <w:r>
                    <w:rPr>
                      <w:rFonts w:ascii="Times New Roman" w:hAnsi="Times New Roman"/>
                      <w:bCs/>
                      <w:szCs w:val="21"/>
                    </w:rPr>
                    <w:t>无组织排放监控浓度限值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76" w:type="pct"/>
                  <w:vAlign w:val="center"/>
                </w:tcPr>
                <w:p>
                  <w:pPr>
                    <w:jc w:val="center"/>
                    <w:rPr>
                      <w:rFonts w:ascii="Times New Roman" w:hAnsi="Times New Roman"/>
                      <w:szCs w:val="21"/>
                    </w:rPr>
                  </w:pPr>
                  <w:r>
                    <w:rPr>
                      <w:rFonts w:ascii="Times New Roman" w:hAnsi="Times New Roman"/>
                      <w:szCs w:val="21"/>
                    </w:rPr>
                    <w:t>非甲烷总烃</w:t>
                  </w:r>
                </w:p>
              </w:tc>
              <w:tc>
                <w:tcPr>
                  <w:tcW w:w="2324" w:type="pct"/>
                  <w:vAlign w:val="center"/>
                </w:tcPr>
                <w:p>
                  <w:pPr>
                    <w:jc w:val="center"/>
                    <w:rPr>
                      <w:rFonts w:ascii="Times New Roman" w:hAnsi="Times New Roman"/>
                      <w:bCs/>
                      <w:szCs w:val="21"/>
                    </w:rPr>
                  </w:pPr>
                  <w:r>
                    <w:rPr>
                      <w:rFonts w:ascii="Times New Roman" w:hAnsi="Times New Roman"/>
                      <w:bCs/>
                      <w:szCs w:val="21"/>
                    </w:rPr>
                    <w:t>4.0</w:t>
                  </w:r>
                </w:p>
              </w:tc>
            </w:tr>
          </w:tbl>
          <w:p>
            <w:pPr>
              <w:spacing w:line="360" w:lineRule="auto"/>
              <w:ind w:firstLine="560" w:firstLineChars="200"/>
              <w:rPr>
                <w:sz w:val="28"/>
                <w:szCs w:val="28"/>
              </w:rPr>
            </w:pPr>
            <w:r>
              <w:rPr>
                <w:sz w:val="28"/>
                <w:szCs w:val="28"/>
              </w:rPr>
              <w:t>《饮食业油烟排放标准（试行）》（GB18483-2001）</w:t>
            </w:r>
            <w:r>
              <w:rPr>
                <w:rFonts w:hint="eastAsia"/>
                <w:sz w:val="28"/>
                <w:szCs w:val="28"/>
              </w:rPr>
              <w:t>；</w:t>
            </w:r>
          </w:p>
          <w:p>
            <w:pPr>
              <w:widowControl/>
              <w:autoSpaceDN w:val="0"/>
              <w:snapToGrid w:val="0"/>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 xml:space="preserve">22 </w:t>
            </w:r>
            <w:r>
              <w:rPr>
                <w:rFonts w:ascii="Times New Roman" w:hAnsi="Times New Roman"/>
                <w:b/>
                <w:sz w:val="24"/>
              </w:rPr>
              <w:t xml:space="preserve">   食堂油烟最高允许浓度</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885"/>
              <w:gridCol w:w="1959"/>
              <w:gridCol w:w="257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473" w:type="pct"/>
                  <w:gridSpan w:val="2"/>
                  <w:vAlign w:val="center"/>
                </w:tcPr>
                <w:p>
                  <w:pPr>
                    <w:jc w:val="center"/>
                  </w:pPr>
                  <w:r>
                    <w:t>饮食油烟排放标准（试行）（GB18483-2001）</w:t>
                  </w:r>
                </w:p>
              </w:tc>
              <w:tc>
                <w:tcPr>
                  <w:tcW w:w="1527" w:type="pct"/>
                  <w:vAlign w:val="center"/>
                </w:tcPr>
                <w:p>
                  <w:pPr>
                    <w:jc w:val="center"/>
                  </w:pPr>
                  <w:r>
                    <w:t>执行标准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309" w:type="pct"/>
                  <w:vAlign w:val="center"/>
                </w:tcPr>
                <w:p>
                  <w:pPr>
                    <w:jc w:val="center"/>
                  </w:pPr>
                  <w:r>
                    <w:t>最高允许排放浓度（mg/m</w:t>
                  </w:r>
                  <w:r>
                    <w:rPr>
                      <w:vertAlign w:val="superscript"/>
                    </w:rPr>
                    <w:t>3</w:t>
                  </w:r>
                  <w:r>
                    <w:t>）</w:t>
                  </w:r>
                </w:p>
              </w:tc>
              <w:tc>
                <w:tcPr>
                  <w:tcW w:w="1164" w:type="pct"/>
                  <w:vAlign w:val="center"/>
                </w:tcPr>
                <w:p>
                  <w:pPr>
                    <w:jc w:val="center"/>
                  </w:pPr>
                  <w:r>
                    <w:t>2.0</w:t>
                  </w:r>
                </w:p>
              </w:tc>
              <w:tc>
                <w:tcPr>
                  <w:tcW w:w="1527" w:type="pct"/>
                  <w:vMerge w:val="restart"/>
                  <w:vAlign w:val="center"/>
                </w:tcPr>
                <w:p>
                  <w:pPr>
                    <w:jc w:val="center"/>
                  </w:pPr>
                  <w:r>
                    <w:rPr>
                      <w:rFonts w:hint="eastAsia"/>
                    </w:rPr>
                    <w:t>小型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93" w:hRule="atLeast"/>
                <w:jc w:val="center"/>
              </w:trPr>
              <w:tc>
                <w:tcPr>
                  <w:tcW w:w="2309" w:type="pct"/>
                  <w:vAlign w:val="center"/>
                </w:tcPr>
                <w:p>
                  <w:pPr>
                    <w:jc w:val="center"/>
                  </w:pPr>
                  <w:r>
                    <w:t>净化设施最低去除效率（%）</w:t>
                  </w:r>
                </w:p>
              </w:tc>
              <w:tc>
                <w:tcPr>
                  <w:tcW w:w="1164" w:type="pct"/>
                  <w:vAlign w:val="center"/>
                </w:tcPr>
                <w:p>
                  <w:pPr>
                    <w:jc w:val="center"/>
                  </w:pPr>
                  <w:r>
                    <w:rPr>
                      <w:rFonts w:hint="eastAsia"/>
                    </w:rPr>
                    <w:t>60</w:t>
                  </w:r>
                </w:p>
              </w:tc>
              <w:tc>
                <w:tcPr>
                  <w:tcW w:w="1527" w:type="pct"/>
                  <w:vMerge w:val="continue"/>
                  <w:vAlign w:val="center"/>
                </w:tcPr>
                <w:p>
                  <w:pPr>
                    <w:jc w:val="center"/>
                  </w:pPr>
                </w:p>
              </w:tc>
            </w:tr>
          </w:tbl>
          <w:p>
            <w:pPr>
              <w:adjustRightInd w:val="0"/>
              <w:spacing w:line="360" w:lineRule="auto"/>
              <w:ind w:firstLine="560" w:firstLineChars="200"/>
              <w:textAlignment w:val="baseline"/>
              <w:rPr>
                <w:rFonts w:hint="eastAsia" w:ascii="Times New Roman" w:hAnsi="Times New Roman"/>
                <w:kern w:val="0"/>
                <w:sz w:val="28"/>
                <w:szCs w:val="28"/>
              </w:rPr>
            </w:pPr>
            <w:r>
              <w:rPr>
                <w:rFonts w:hint="eastAsia" w:ascii="Times New Roman" w:hAnsi="Times New Roman"/>
                <w:kern w:val="0"/>
                <w:sz w:val="28"/>
                <w:szCs w:val="28"/>
              </w:rPr>
              <w:t>《挥发性有机物无组织排放标准》（GB37822-2019）中表A.1无组织排放限值（1h平均浓度：10mg/m</w:t>
            </w:r>
            <w:r>
              <w:rPr>
                <w:rFonts w:hint="eastAsia" w:ascii="Times New Roman" w:hAnsi="Times New Roman"/>
                <w:kern w:val="0"/>
                <w:sz w:val="28"/>
                <w:szCs w:val="28"/>
                <w:vertAlign w:val="superscript"/>
              </w:rPr>
              <w:t>3</w:t>
            </w:r>
            <w:r>
              <w:rPr>
                <w:rFonts w:hint="eastAsia" w:ascii="Times New Roman" w:hAnsi="Times New Roman"/>
                <w:kern w:val="0"/>
                <w:sz w:val="28"/>
                <w:szCs w:val="28"/>
              </w:rPr>
              <w:t>，任意一次浓度值：30mg/m</w:t>
            </w:r>
            <w:r>
              <w:rPr>
                <w:rFonts w:hint="eastAsia" w:ascii="Times New Roman" w:hAnsi="Times New Roman"/>
                <w:kern w:val="0"/>
                <w:sz w:val="28"/>
                <w:szCs w:val="28"/>
                <w:vertAlign w:val="superscript"/>
              </w:rPr>
              <w:t>3</w:t>
            </w:r>
            <w:r>
              <w:rPr>
                <w:rFonts w:hint="eastAsia" w:ascii="Times New Roman" w:hAnsi="Times New Roman"/>
                <w:kern w:val="0"/>
                <w:sz w:val="28"/>
                <w:szCs w:val="28"/>
              </w:rPr>
              <w:t>）。</w:t>
            </w:r>
          </w:p>
          <w:p>
            <w:pPr>
              <w:adjustRightInd w:val="0"/>
              <w:spacing w:line="360" w:lineRule="auto"/>
              <w:ind w:firstLine="560" w:firstLineChars="200"/>
              <w:textAlignment w:val="baseline"/>
              <w:rPr>
                <w:rFonts w:ascii="Times New Roman" w:hAnsi="Times New Roman"/>
                <w:b/>
                <w:kern w:val="0"/>
                <w:sz w:val="28"/>
                <w:szCs w:val="28"/>
              </w:rPr>
            </w:pPr>
            <w:r>
              <w:rPr>
                <w:rFonts w:ascii="Times New Roman" w:hAnsi="Times New Roman"/>
                <w:kern w:val="0"/>
                <w:sz w:val="28"/>
                <w:szCs w:val="28"/>
              </w:rPr>
              <w:t>油气排放执行《加油站大气污染物排放标准》(GB20952-2007)：处理装置的油气排放浓度应小于等于25g/m</w:t>
            </w:r>
            <w:r>
              <w:rPr>
                <w:rFonts w:ascii="Times New Roman" w:hAnsi="Times New Roman"/>
                <w:kern w:val="0"/>
                <w:sz w:val="28"/>
                <w:szCs w:val="28"/>
                <w:vertAlign w:val="superscript"/>
              </w:rPr>
              <w:t>3</w:t>
            </w:r>
            <w:r>
              <w:rPr>
                <w:rFonts w:ascii="Times New Roman" w:hAnsi="Times New Roman"/>
                <w:kern w:val="0"/>
                <w:sz w:val="28"/>
                <w:szCs w:val="28"/>
              </w:rPr>
              <w:t>，排放口距地面高度应不低于4m。</w:t>
            </w:r>
          </w:p>
          <w:p>
            <w:pPr>
              <w:adjustRightInd w:val="0"/>
              <w:spacing w:line="360" w:lineRule="auto"/>
              <w:ind w:firstLine="560" w:firstLineChars="200"/>
              <w:textAlignment w:val="baseline"/>
              <w:rPr>
                <w:rFonts w:ascii="Times New Roman" w:hAnsi="Times New Roman"/>
                <w:b/>
                <w:kern w:val="0"/>
                <w:sz w:val="28"/>
                <w:szCs w:val="28"/>
              </w:rPr>
            </w:pPr>
            <w:r>
              <w:rPr>
                <w:rFonts w:ascii="Times New Roman" w:hAnsi="Times New Roman"/>
                <w:b/>
                <w:kern w:val="0"/>
                <w:sz w:val="28"/>
                <w:szCs w:val="28"/>
              </w:rPr>
              <w:t>2、噪声</w:t>
            </w:r>
          </w:p>
          <w:p>
            <w:pPr>
              <w:adjustRightInd w:val="0"/>
              <w:spacing w:line="360" w:lineRule="auto"/>
              <w:ind w:firstLine="560" w:firstLineChars="200"/>
              <w:textAlignment w:val="baseline"/>
              <w:rPr>
                <w:rFonts w:ascii="Times New Roman" w:hAnsi="Times New Roman"/>
                <w:kern w:val="0"/>
                <w:sz w:val="28"/>
                <w:szCs w:val="28"/>
              </w:rPr>
            </w:pPr>
            <w:r>
              <w:rPr>
                <w:rFonts w:ascii="Times New Roman" w:hAnsi="Times New Roman"/>
                <w:kern w:val="0"/>
                <w:sz w:val="28"/>
                <w:szCs w:val="28"/>
              </w:rPr>
              <w:t>施工期</w:t>
            </w:r>
            <w:r>
              <w:rPr>
                <w:rFonts w:hint="eastAsia" w:ascii="Times New Roman" w:hAnsi="Times New Roman"/>
                <w:kern w:val="0"/>
                <w:sz w:val="28"/>
                <w:szCs w:val="28"/>
              </w:rPr>
              <w:t>：项目</w:t>
            </w:r>
            <w:r>
              <w:rPr>
                <w:rFonts w:ascii="Times New Roman" w:hAnsi="Times New Roman"/>
                <w:kern w:val="0"/>
                <w:sz w:val="28"/>
                <w:szCs w:val="28"/>
              </w:rPr>
              <w:t>执行《建筑施工场界环境噪声排放标准》(GB12523-2011)。</w:t>
            </w:r>
          </w:p>
          <w:p>
            <w:pPr>
              <w:wordWrap w:val="0"/>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 xml:space="preserve">23 </w:t>
            </w:r>
            <w:r>
              <w:rPr>
                <w:rFonts w:ascii="Times New Roman" w:hAnsi="Times New Roman"/>
                <w:b/>
                <w:sz w:val="24"/>
              </w:rPr>
              <w:t xml:space="preserve">    建筑施工场界环境噪声排放标准  单位：dB(A)</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07"/>
              <w:gridCol w:w="420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500" w:type="pct"/>
                  <w:vAlign w:val="center"/>
                </w:tcPr>
                <w:p>
                  <w:pPr>
                    <w:jc w:val="center"/>
                    <w:rPr>
                      <w:rFonts w:ascii="Times New Roman" w:hAnsi="Times New Roman"/>
                      <w:szCs w:val="21"/>
                    </w:rPr>
                  </w:pPr>
                  <w:r>
                    <w:rPr>
                      <w:rFonts w:ascii="Times New Roman" w:hAnsi="Times New Roman"/>
                      <w:szCs w:val="21"/>
                    </w:rPr>
                    <w:t>昼间</w:t>
                  </w:r>
                </w:p>
              </w:tc>
              <w:tc>
                <w:tcPr>
                  <w:tcW w:w="2500" w:type="pct"/>
                  <w:vAlign w:val="center"/>
                </w:tcPr>
                <w:p>
                  <w:pPr>
                    <w:jc w:val="center"/>
                    <w:rPr>
                      <w:rFonts w:ascii="Times New Roman" w:hAnsi="Times New Roman"/>
                      <w:szCs w:val="21"/>
                    </w:rPr>
                  </w:pPr>
                  <w:r>
                    <w:rPr>
                      <w:rFonts w:ascii="Times New Roman" w:hAnsi="Times New Roman"/>
                      <w:szCs w:val="21"/>
                    </w:rPr>
                    <w:t>夜间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500" w:type="pct"/>
                  <w:vAlign w:val="center"/>
                </w:tcPr>
                <w:p>
                  <w:pPr>
                    <w:jc w:val="center"/>
                    <w:rPr>
                      <w:rFonts w:ascii="Times New Roman" w:hAnsi="Times New Roman"/>
                      <w:szCs w:val="21"/>
                    </w:rPr>
                  </w:pPr>
                  <w:r>
                    <w:rPr>
                      <w:rFonts w:ascii="Times New Roman" w:hAnsi="Times New Roman"/>
                      <w:szCs w:val="21"/>
                    </w:rPr>
                    <w:t>70</w:t>
                  </w:r>
                </w:p>
              </w:tc>
              <w:tc>
                <w:tcPr>
                  <w:tcW w:w="2500" w:type="pct"/>
                  <w:vAlign w:val="center"/>
                </w:tcPr>
                <w:p>
                  <w:pPr>
                    <w:jc w:val="center"/>
                    <w:rPr>
                      <w:rFonts w:ascii="Times New Roman" w:hAnsi="Times New Roman"/>
                      <w:szCs w:val="21"/>
                    </w:rPr>
                  </w:pPr>
                  <w:r>
                    <w:rPr>
                      <w:rFonts w:hint="eastAsia" w:ascii="Times New Roman" w:hAnsi="Times New Roman"/>
                      <w:szCs w:val="21"/>
                    </w:rPr>
                    <w:t>5</w:t>
                  </w:r>
                  <w:r>
                    <w:rPr>
                      <w:rFonts w:ascii="Times New Roman" w:hAnsi="Times New Roman"/>
                      <w:szCs w:val="21"/>
                    </w:rPr>
                    <w:t>5</w:t>
                  </w:r>
                </w:p>
              </w:tc>
            </w:tr>
          </w:tbl>
          <w:p>
            <w:pPr>
              <w:adjustRightInd w:val="0"/>
              <w:spacing w:line="360" w:lineRule="auto"/>
              <w:ind w:firstLine="560" w:firstLineChars="200"/>
              <w:textAlignment w:val="baseline"/>
              <w:rPr>
                <w:rFonts w:ascii="Times New Roman" w:hAnsi="Times New Roman"/>
                <w:b/>
                <w:sz w:val="28"/>
                <w:szCs w:val="28"/>
              </w:rPr>
            </w:pPr>
            <w:r>
              <w:rPr>
                <w:rFonts w:ascii="Times New Roman" w:hAnsi="Times New Roman"/>
                <w:kern w:val="0"/>
                <w:sz w:val="28"/>
                <w:szCs w:val="28"/>
              </w:rPr>
              <w:t>运营</w:t>
            </w:r>
            <w:r>
              <w:rPr>
                <w:rFonts w:hint="eastAsia" w:ascii="Times New Roman" w:hAnsi="Times New Roman"/>
                <w:kern w:val="0"/>
                <w:sz w:val="28"/>
                <w:szCs w:val="28"/>
              </w:rPr>
              <w:t>：</w:t>
            </w:r>
            <w:r>
              <w:rPr>
                <w:rFonts w:ascii="Times New Roman" w:hAnsi="Times New Roman"/>
                <w:kern w:val="0"/>
                <w:sz w:val="28"/>
                <w:szCs w:val="28"/>
              </w:rPr>
              <w:t>期项目东侧、</w:t>
            </w:r>
            <w:r>
              <w:rPr>
                <w:rFonts w:hint="eastAsia" w:ascii="Times New Roman" w:hAnsi="Times New Roman"/>
                <w:kern w:val="0"/>
                <w:sz w:val="28"/>
                <w:szCs w:val="28"/>
              </w:rPr>
              <w:t>南</w:t>
            </w:r>
            <w:r>
              <w:rPr>
                <w:rFonts w:ascii="Times New Roman" w:hAnsi="Times New Roman"/>
                <w:kern w:val="0"/>
                <w:sz w:val="28"/>
                <w:szCs w:val="28"/>
              </w:rPr>
              <w:t>侧</w:t>
            </w:r>
            <w:r>
              <w:rPr>
                <w:rFonts w:hint="eastAsia" w:ascii="Times New Roman" w:hAnsi="Times New Roman"/>
                <w:kern w:val="0"/>
                <w:sz w:val="28"/>
                <w:szCs w:val="28"/>
              </w:rPr>
              <w:t>、西</w:t>
            </w:r>
            <w:r>
              <w:rPr>
                <w:rFonts w:ascii="Times New Roman" w:hAnsi="Times New Roman"/>
                <w:kern w:val="0"/>
                <w:sz w:val="28"/>
                <w:szCs w:val="28"/>
              </w:rPr>
              <w:t>侧厂界噪声执行《工业企业厂界环境噪声排放标准》（GB12348-2008）中的</w:t>
            </w:r>
            <w:r>
              <w:rPr>
                <w:rFonts w:hint="eastAsia" w:ascii="Times New Roman" w:hAnsi="Times New Roman"/>
                <w:kern w:val="0"/>
                <w:sz w:val="28"/>
                <w:szCs w:val="28"/>
              </w:rPr>
              <w:t>2类</w:t>
            </w:r>
            <w:r>
              <w:rPr>
                <w:rFonts w:ascii="Times New Roman" w:hAnsi="Times New Roman"/>
                <w:kern w:val="0"/>
                <w:sz w:val="28"/>
                <w:szCs w:val="28"/>
              </w:rPr>
              <w:t>标准，</w:t>
            </w:r>
            <w:r>
              <w:rPr>
                <w:rFonts w:hint="eastAsia" w:ascii="Times New Roman" w:hAnsi="Times New Roman"/>
                <w:kern w:val="0"/>
                <w:sz w:val="28"/>
                <w:szCs w:val="28"/>
              </w:rPr>
              <w:t>北</w:t>
            </w:r>
            <w:r>
              <w:rPr>
                <w:rFonts w:ascii="Times New Roman" w:hAnsi="Times New Roman"/>
                <w:kern w:val="0"/>
                <w:sz w:val="28"/>
                <w:szCs w:val="28"/>
              </w:rPr>
              <w:t>侧厂界噪声执行《工业企业厂界环境噪声排放标准》（GB12348-2008）中的4类标准，标准值见下表。</w:t>
            </w:r>
          </w:p>
          <w:p>
            <w:pPr>
              <w:wordWrap w:val="0"/>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24</w:t>
            </w:r>
            <w:r>
              <w:rPr>
                <w:rFonts w:ascii="Times New Roman" w:hAnsi="Times New Roman"/>
                <w:b/>
                <w:sz w:val="24"/>
              </w:rPr>
              <w:t xml:space="preserve">   工业企业厂界环境噪声排放标准  单位：dB(A)</w:t>
            </w:r>
          </w:p>
          <w:tbl>
            <w:tblPr>
              <w:tblStyle w:val="26"/>
              <w:tblW w:w="5000" w:type="pct"/>
              <w:jc w:val="center"/>
              <w:tblBorders>
                <w:top w:val="single" w:color="auto" w:sz="12" w:space="0"/>
                <w:left w:val="none" w:color="auto" w:sz="0" w:space="0"/>
                <w:bottom w:val="single" w:color="auto" w:sz="12" w:space="0"/>
                <w:right w:val="none" w:color="auto" w:sz="0" w:space="0"/>
                <w:insideH w:val="single" w:color="000000" w:sz="6" w:space="0"/>
                <w:insideV w:val="single" w:color="000000" w:sz="6" w:space="0"/>
              </w:tblBorders>
              <w:tblLayout w:type="autofit"/>
              <w:tblCellMar>
                <w:top w:w="0" w:type="dxa"/>
                <w:left w:w="0" w:type="dxa"/>
                <w:bottom w:w="0" w:type="dxa"/>
                <w:right w:w="0" w:type="dxa"/>
              </w:tblCellMar>
            </w:tblPr>
            <w:tblGrid>
              <w:gridCol w:w="1526"/>
              <w:gridCol w:w="3444"/>
              <w:gridCol w:w="3444"/>
            </w:tblGrid>
            <w:tr>
              <w:tblPrEx>
                <w:tblBorders>
                  <w:top w:val="single" w:color="auto" w:sz="12" w:space="0"/>
                  <w:left w:val="none" w:color="auto" w:sz="0" w:space="0"/>
                  <w:bottom w:val="single" w:color="auto" w:sz="12" w:space="0"/>
                  <w:right w:val="none" w:color="auto" w:sz="0" w:space="0"/>
                  <w:insideH w:val="single" w:color="000000" w:sz="6" w:space="0"/>
                  <w:insideV w:val="single" w:color="000000" w:sz="6" w:space="0"/>
                </w:tblBorders>
                <w:tblCellMar>
                  <w:top w:w="0" w:type="dxa"/>
                  <w:left w:w="0" w:type="dxa"/>
                  <w:bottom w:w="0" w:type="dxa"/>
                  <w:right w:w="0" w:type="dxa"/>
                </w:tblCellMar>
              </w:tblPrEx>
              <w:trPr>
                <w:cantSplit/>
                <w:trHeight w:val="227" w:hRule="atLeast"/>
                <w:jc w:val="center"/>
              </w:trPr>
              <w:tc>
                <w:tcPr>
                  <w:tcW w:w="907" w:type="pct"/>
                  <w:tcBorders>
                    <w:right w:val="single" w:color="auto" w:sz="4" w:space="0"/>
                  </w:tcBorders>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功能区类别</w:t>
                  </w:r>
                </w:p>
              </w:tc>
              <w:tc>
                <w:tcPr>
                  <w:tcW w:w="2046" w:type="pct"/>
                  <w:tcBorders>
                    <w:left w:val="single" w:color="auto" w:sz="4" w:space="0"/>
                  </w:tcBorders>
                  <w:vAlign w:val="center"/>
                </w:tcPr>
                <w:p>
                  <w:pPr>
                    <w:jc w:val="center"/>
                    <w:rPr>
                      <w:rFonts w:ascii="Times New Roman" w:hAnsi="Times New Roman"/>
                      <w:szCs w:val="21"/>
                    </w:rPr>
                  </w:pPr>
                  <w:r>
                    <w:rPr>
                      <w:rFonts w:ascii="Times New Roman" w:hAnsi="Times New Roman"/>
                      <w:szCs w:val="21"/>
                    </w:rPr>
                    <w:t>昼间</w:t>
                  </w:r>
                </w:p>
              </w:tc>
              <w:tc>
                <w:tcPr>
                  <w:tcW w:w="2046" w:type="pct"/>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夜间</w:t>
                  </w:r>
                </w:p>
              </w:tc>
            </w:tr>
            <w:tr>
              <w:tblPrEx>
                <w:tblBorders>
                  <w:top w:val="single" w:color="auto" w:sz="12" w:space="0"/>
                  <w:left w:val="none" w:color="auto" w:sz="0" w:space="0"/>
                  <w:bottom w:val="single" w:color="auto" w:sz="12" w:space="0"/>
                  <w:right w:val="none" w:color="auto" w:sz="0" w:space="0"/>
                  <w:insideH w:val="single" w:color="000000" w:sz="6" w:space="0"/>
                  <w:insideV w:val="single" w:color="000000" w:sz="6" w:space="0"/>
                </w:tblBorders>
                <w:tblCellMar>
                  <w:top w:w="0" w:type="dxa"/>
                  <w:left w:w="0" w:type="dxa"/>
                  <w:bottom w:w="0" w:type="dxa"/>
                  <w:right w:w="0" w:type="dxa"/>
                </w:tblCellMar>
              </w:tblPrEx>
              <w:trPr>
                <w:cantSplit/>
                <w:trHeight w:val="227" w:hRule="atLeast"/>
                <w:jc w:val="center"/>
              </w:trPr>
              <w:tc>
                <w:tcPr>
                  <w:tcW w:w="907" w:type="pct"/>
                  <w:tcBorders>
                    <w:right w:val="single" w:color="auto" w:sz="4" w:space="0"/>
                  </w:tcBorders>
                  <w:tcMar>
                    <w:top w:w="17" w:type="dxa"/>
                    <w:left w:w="17" w:type="dxa"/>
                    <w:bottom w:w="0" w:type="dxa"/>
                    <w:right w:w="17" w:type="dxa"/>
                  </w:tcMar>
                  <w:vAlign w:val="center"/>
                </w:tcPr>
                <w:p>
                  <w:pPr>
                    <w:jc w:val="center"/>
                    <w:rPr>
                      <w:rFonts w:ascii="Times New Roman" w:hAnsi="Times New Roman"/>
                      <w:szCs w:val="21"/>
                    </w:rPr>
                  </w:pPr>
                  <w:r>
                    <w:rPr>
                      <w:rFonts w:hint="eastAsia" w:ascii="Times New Roman" w:hAnsi="Times New Roman"/>
                      <w:szCs w:val="21"/>
                    </w:rPr>
                    <w:t>2</w:t>
                  </w:r>
                </w:p>
              </w:tc>
              <w:tc>
                <w:tcPr>
                  <w:tcW w:w="2046" w:type="pct"/>
                  <w:tcBorders>
                    <w:left w:val="single" w:color="auto" w:sz="4" w:space="0"/>
                  </w:tcBorders>
                  <w:vAlign w:val="center"/>
                </w:tcPr>
                <w:p>
                  <w:pPr>
                    <w:jc w:val="center"/>
                    <w:rPr>
                      <w:rFonts w:ascii="Times New Roman" w:hAnsi="Times New Roman"/>
                      <w:szCs w:val="21"/>
                    </w:rPr>
                  </w:pPr>
                  <w:r>
                    <w:rPr>
                      <w:rFonts w:hint="eastAsia" w:ascii="Times New Roman" w:hAnsi="Times New Roman"/>
                      <w:szCs w:val="21"/>
                    </w:rPr>
                    <w:t>60</w:t>
                  </w:r>
                </w:p>
              </w:tc>
              <w:tc>
                <w:tcPr>
                  <w:tcW w:w="2046" w:type="pct"/>
                  <w:tcMar>
                    <w:top w:w="17" w:type="dxa"/>
                    <w:left w:w="17" w:type="dxa"/>
                    <w:bottom w:w="0" w:type="dxa"/>
                    <w:right w:w="17" w:type="dxa"/>
                  </w:tcMar>
                  <w:vAlign w:val="center"/>
                </w:tcPr>
                <w:p>
                  <w:pPr>
                    <w:jc w:val="center"/>
                    <w:rPr>
                      <w:rFonts w:ascii="Times New Roman" w:hAnsi="Times New Roman"/>
                      <w:szCs w:val="21"/>
                    </w:rPr>
                  </w:pPr>
                  <w:r>
                    <w:rPr>
                      <w:rFonts w:hint="eastAsia" w:ascii="Times New Roman" w:hAnsi="Times New Roman"/>
                      <w:szCs w:val="21"/>
                    </w:rPr>
                    <w:t>50</w:t>
                  </w:r>
                </w:p>
              </w:tc>
            </w:tr>
            <w:tr>
              <w:tblPrEx>
                <w:tblBorders>
                  <w:top w:val="single" w:color="auto" w:sz="12" w:space="0"/>
                  <w:left w:val="none" w:color="auto" w:sz="0" w:space="0"/>
                  <w:bottom w:val="single" w:color="auto" w:sz="12" w:space="0"/>
                  <w:right w:val="none" w:color="auto" w:sz="0" w:space="0"/>
                  <w:insideH w:val="single" w:color="000000" w:sz="6" w:space="0"/>
                  <w:insideV w:val="single" w:color="000000" w:sz="6" w:space="0"/>
                </w:tblBorders>
                <w:tblCellMar>
                  <w:top w:w="0" w:type="dxa"/>
                  <w:left w:w="0" w:type="dxa"/>
                  <w:bottom w:w="0" w:type="dxa"/>
                  <w:right w:w="0" w:type="dxa"/>
                </w:tblCellMar>
              </w:tblPrEx>
              <w:trPr>
                <w:cantSplit/>
                <w:trHeight w:val="227" w:hRule="atLeast"/>
                <w:jc w:val="center"/>
              </w:trPr>
              <w:tc>
                <w:tcPr>
                  <w:tcW w:w="907" w:type="pct"/>
                  <w:tcBorders>
                    <w:right w:val="single" w:color="auto" w:sz="4" w:space="0"/>
                  </w:tcBorders>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4</w:t>
                  </w:r>
                </w:p>
              </w:tc>
              <w:tc>
                <w:tcPr>
                  <w:tcW w:w="2046" w:type="pct"/>
                  <w:tcBorders>
                    <w:left w:val="single" w:color="auto" w:sz="4" w:space="0"/>
                  </w:tcBorders>
                  <w:vAlign w:val="center"/>
                </w:tcPr>
                <w:p>
                  <w:pPr>
                    <w:jc w:val="center"/>
                    <w:rPr>
                      <w:rFonts w:ascii="Times New Roman" w:hAnsi="Times New Roman"/>
                      <w:szCs w:val="21"/>
                    </w:rPr>
                  </w:pPr>
                  <w:r>
                    <w:rPr>
                      <w:rFonts w:ascii="Times New Roman" w:hAnsi="Times New Roman"/>
                      <w:szCs w:val="21"/>
                    </w:rPr>
                    <w:t>70</w:t>
                  </w:r>
                </w:p>
              </w:tc>
              <w:tc>
                <w:tcPr>
                  <w:tcW w:w="2046" w:type="pct"/>
                  <w:tcMar>
                    <w:top w:w="17" w:type="dxa"/>
                    <w:left w:w="17" w:type="dxa"/>
                    <w:bottom w:w="0" w:type="dxa"/>
                    <w:right w:w="17" w:type="dxa"/>
                  </w:tcMar>
                  <w:vAlign w:val="center"/>
                </w:tcPr>
                <w:p>
                  <w:pPr>
                    <w:jc w:val="center"/>
                    <w:rPr>
                      <w:rFonts w:ascii="Times New Roman" w:hAnsi="Times New Roman"/>
                      <w:szCs w:val="21"/>
                    </w:rPr>
                  </w:pPr>
                  <w:r>
                    <w:rPr>
                      <w:rFonts w:ascii="Times New Roman" w:hAnsi="Times New Roman"/>
                      <w:szCs w:val="21"/>
                    </w:rPr>
                    <w:t>55</w:t>
                  </w:r>
                </w:p>
              </w:tc>
            </w:tr>
          </w:tbl>
          <w:p>
            <w:pPr>
              <w:adjustRightInd w:val="0"/>
              <w:spacing w:line="360" w:lineRule="auto"/>
              <w:ind w:firstLine="560" w:firstLineChars="200"/>
              <w:textAlignment w:val="baseline"/>
              <w:rPr>
                <w:rFonts w:ascii="Times New Roman" w:hAnsi="Times New Roman"/>
                <w:b/>
                <w:sz w:val="28"/>
                <w:szCs w:val="28"/>
              </w:rPr>
            </w:pPr>
            <w:r>
              <w:rPr>
                <w:rFonts w:ascii="Times New Roman" w:hAnsi="Times New Roman"/>
                <w:b/>
                <w:sz w:val="28"/>
                <w:szCs w:val="28"/>
              </w:rPr>
              <w:t>3、固体废物</w:t>
            </w:r>
          </w:p>
          <w:p>
            <w:pPr>
              <w:adjustRightInd w:val="0"/>
              <w:spacing w:line="360" w:lineRule="auto"/>
              <w:ind w:firstLine="560" w:firstLineChars="200"/>
              <w:textAlignment w:val="baseline"/>
              <w:rPr>
                <w:rFonts w:ascii="Times New Roman" w:hAnsi="Times New Roman" w:eastAsiaTheme="minorEastAsia"/>
                <w:sz w:val="28"/>
                <w:szCs w:val="28"/>
              </w:rPr>
            </w:pPr>
            <w:r>
              <w:rPr>
                <w:rFonts w:hint="eastAsia" w:ascii="Times New Roman" w:hAnsi="Times New Roman" w:eastAsiaTheme="minorEastAsia"/>
                <w:sz w:val="28"/>
                <w:szCs w:val="28"/>
              </w:rPr>
              <w:t>《一般工业固体废物贮存、处置场污染控制标准》（GB18599-2001）；</w:t>
            </w:r>
          </w:p>
          <w:p>
            <w:pPr>
              <w:adjustRightInd w:val="0"/>
              <w:spacing w:line="360" w:lineRule="auto"/>
              <w:ind w:firstLine="560" w:firstLineChars="200"/>
              <w:textAlignment w:val="baseline"/>
              <w:rPr>
                <w:rFonts w:ascii="Times New Roman" w:hAnsi="Times New Roman" w:eastAsiaTheme="minorEastAsia"/>
                <w:sz w:val="28"/>
                <w:szCs w:val="28"/>
              </w:rPr>
            </w:pPr>
            <w:r>
              <w:rPr>
                <w:rFonts w:hint="eastAsia" w:ascii="Times New Roman" w:hAnsi="Times New Roman" w:eastAsiaTheme="minorEastAsia"/>
                <w:sz w:val="28"/>
                <w:szCs w:val="28"/>
              </w:rPr>
              <w:t>关于发布《一般工业固体废物贮存、处置场污染控制标准》（GB18599- 2001）等3项国家污染物控制标准修改单的公告。2013年第36号。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78"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rPr>
                <w:sz w:val="28"/>
              </w:rPr>
            </w:pPr>
            <w:r>
              <w:rPr>
                <w:sz w:val="28"/>
              </w:rPr>
              <w:t>其他</w:t>
            </w:r>
          </w:p>
        </w:tc>
        <w:tc>
          <w:tcPr>
            <w:tcW w:w="4621" w:type="pct"/>
            <w:tcBorders>
              <w:top w:val="single" w:color="auto" w:sz="4" w:space="0"/>
              <w:left w:val="single" w:color="auto" w:sz="4" w:space="0"/>
              <w:bottom w:val="single" w:color="auto" w:sz="4" w:space="0"/>
              <w:right w:val="single" w:color="auto" w:sz="4" w:space="0"/>
            </w:tcBorders>
          </w:tcPr>
          <w:p>
            <w:pPr>
              <w:adjustRightInd w:val="0"/>
              <w:spacing w:line="360" w:lineRule="auto"/>
              <w:ind w:firstLine="560" w:firstLineChars="200"/>
              <w:textAlignment w:val="baseline"/>
              <w:rPr>
                <w:rFonts w:ascii="Times New Roman" w:hAnsi="Times New Roman" w:eastAsiaTheme="minorEastAsia"/>
                <w:sz w:val="28"/>
                <w:szCs w:val="28"/>
              </w:rPr>
            </w:pPr>
            <w:r>
              <w:rPr>
                <w:rFonts w:ascii="Times New Roman" w:hAnsi="Times New Roman" w:eastAsiaTheme="minorEastAsia"/>
                <w:sz w:val="28"/>
                <w:szCs w:val="28"/>
              </w:rPr>
              <w:t>1.《汽车加油加气站设计与施工规范》（GB50156</w:t>
            </w:r>
            <w:r>
              <w:rPr>
                <w:rFonts w:hint="eastAsia" w:ascii="Times New Roman" w:hAnsi="Times New Roman" w:eastAsiaTheme="minorEastAsia"/>
                <w:sz w:val="28"/>
                <w:szCs w:val="28"/>
              </w:rPr>
              <w:t>-</w:t>
            </w:r>
            <w:r>
              <w:rPr>
                <w:rFonts w:ascii="Times New Roman" w:hAnsi="Times New Roman" w:eastAsiaTheme="minorEastAsia"/>
                <w:sz w:val="28"/>
                <w:szCs w:val="28"/>
              </w:rPr>
              <w:t>2012）</w:t>
            </w:r>
            <w:r>
              <w:rPr>
                <w:rFonts w:hint="eastAsia" w:ascii="Times New Roman" w:hAnsi="Times New Roman" w:eastAsiaTheme="minorEastAsia"/>
                <w:sz w:val="28"/>
                <w:szCs w:val="28"/>
              </w:rPr>
              <w:t>（2014年修订版）</w:t>
            </w:r>
          </w:p>
          <w:p>
            <w:pPr>
              <w:adjustRightInd w:val="0"/>
              <w:spacing w:line="360" w:lineRule="auto"/>
              <w:ind w:firstLine="560" w:firstLineChars="200"/>
              <w:textAlignment w:val="baseline"/>
              <w:rPr>
                <w:rFonts w:ascii="Times New Roman" w:hAnsi="Times New Roman" w:eastAsiaTheme="minorEastAsia"/>
                <w:sz w:val="28"/>
                <w:szCs w:val="28"/>
              </w:rPr>
            </w:pPr>
            <w:r>
              <w:rPr>
                <w:rFonts w:hint="eastAsia" w:ascii="Times New Roman" w:hAnsi="Times New Roman" w:eastAsiaTheme="minorEastAsia"/>
                <w:sz w:val="28"/>
                <w:szCs w:val="28"/>
              </w:rPr>
              <w:t>2.《加油站地下水污染防治技术指南（试行）》</w:t>
            </w:r>
          </w:p>
          <w:p>
            <w:pPr>
              <w:adjustRightInd w:val="0"/>
              <w:spacing w:line="360" w:lineRule="auto"/>
              <w:ind w:firstLine="560" w:firstLineChars="200"/>
              <w:textAlignment w:val="baseline"/>
              <w:rPr>
                <w:rFonts w:ascii="Times New Roman" w:hAnsi="Times New Roman" w:eastAsiaTheme="minorEastAsia"/>
                <w:sz w:val="28"/>
                <w:szCs w:val="28"/>
              </w:rPr>
            </w:pPr>
            <w:r>
              <w:rPr>
                <w:rFonts w:hint="eastAsia" w:ascii="Times New Roman" w:hAnsi="Times New Roman" w:eastAsiaTheme="minorEastAsia"/>
                <w:sz w:val="28"/>
                <w:szCs w:val="28"/>
              </w:rPr>
              <w:t>3.《排污许可证申请与核发技术规范 储油库、加油站》（HJ 1118-2020）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35"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b/>
                <w:sz w:val="28"/>
                <w:szCs w:val="28"/>
              </w:rPr>
            </w:pPr>
            <w:r>
              <w:rPr>
                <w:rFonts w:ascii="Times New Roman" w:hAnsi="Times New Roman"/>
                <w:b/>
                <w:sz w:val="28"/>
                <w:szCs w:val="28"/>
              </w:rPr>
              <w:t>污</w:t>
            </w:r>
          </w:p>
          <w:p>
            <w:pPr>
              <w:spacing w:line="360" w:lineRule="auto"/>
              <w:jc w:val="center"/>
              <w:rPr>
                <w:rFonts w:ascii="Times New Roman" w:hAnsi="Times New Roman"/>
                <w:b/>
                <w:sz w:val="28"/>
                <w:szCs w:val="28"/>
              </w:rPr>
            </w:pPr>
            <w:r>
              <w:rPr>
                <w:rFonts w:ascii="Times New Roman" w:hAnsi="Times New Roman"/>
                <w:b/>
                <w:sz w:val="28"/>
                <w:szCs w:val="28"/>
              </w:rPr>
              <w:t>染</w:t>
            </w:r>
          </w:p>
          <w:p>
            <w:pPr>
              <w:spacing w:line="360" w:lineRule="auto"/>
              <w:jc w:val="center"/>
              <w:rPr>
                <w:rFonts w:ascii="Times New Roman" w:hAnsi="Times New Roman"/>
                <w:b/>
                <w:sz w:val="28"/>
                <w:szCs w:val="28"/>
              </w:rPr>
            </w:pPr>
            <w:r>
              <w:rPr>
                <w:rFonts w:ascii="Times New Roman" w:hAnsi="Times New Roman"/>
                <w:b/>
                <w:sz w:val="28"/>
                <w:szCs w:val="28"/>
              </w:rPr>
              <w:t>物</w:t>
            </w:r>
          </w:p>
          <w:p>
            <w:pPr>
              <w:spacing w:line="360" w:lineRule="auto"/>
              <w:jc w:val="center"/>
              <w:rPr>
                <w:rFonts w:ascii="Times New Roman" w:hAnsi="Times New Roman"/>
                <w:b/>
                <w:sz w:val="28"/>
                <w:szCs w:val="28"/>
              </w:rPr>
            </w:pPr>
            <w:r>
              <w:rPr>
                <w:rFonts w:ascii="Times New Roman" w:hAnsi="Times New Roman"/>
                <w:b/>
                <w:sz w:val="28"/>
                <w:szCs w:val="28"/>
              </w:rPr>
              <w:t>总</w:t>
            </w:r>
          </w:p>
          <w:p>
            <w:pPr>
              <w:spacing w:line="360" w:lineRule="auto"/>
              <w:jc w:val="center"/>
              <w:rPr>
                <w:rFonts w:ascii="Times New Roman" w:hAnsi="Times New Roman"/>
                <w:b/>
                <w:sz w:val="28"/>
                <w:szCs w:val="28"/>
              </w:rPr>
            </w:pPr>
            <w:r>
              <w:rPr>
                <w:rFonts w:ascii="Times New Roman" w:hAnsi="Times New Roman"/>
                <w:b/>
                <w:sz w:val="28"/>
                <w:szCs w:val="28"/>
              </w:rPr>
              <w:t>量</w:t>
            </w:r>
          </w:p>
          <w:p>
            <w:pPr>
              <w:spacing w:line="360" w:lineRule="auto"/>
              <w:jc w:val="center"/>
              <w:rPr>
                <w:rFonts w:ascii="Times New Roman" w:hAnsi="Times New Roman"/>
                <w:b/>
                <w:sz w:val="28"/>
                <w:szCs w:val="28"/>
              </w:rPr>
            </w:pPr>
            <w:r>
              <w:rPr>
                <w:rFonts w:ascii="Times New Roman" w:hAnsi="Times New Roman"/>
                <w:b/>
                <w:sz w:val="28"/>
                <w:szCs w:val="28"/>
              </w:rPr>
              <w:t>控</w:t>
            </w:r>
          </w:p>
          <w:p>
            <w:pPr>
              <w:spacing w:line="360" w:lineRule="auto"/>
              <w:ind w:left="-178" w:leftChars="-85" w:right="-159" w:rightChars="-76"/>
              <w:jc w:val="center"/>
              <w:rPr>
                <w:rFonts w:ascii="Times New Roman" w:hAnsi="Times New Roman"/>
                <w:b/>
                <w:sz w:val="28"/>
                <w:szCs w:val="28"/>
              </w:rPr>
            </w:pPr>
            <w:r>
              <w:rPr>
                <w:rFonts w:ascii="Times New Roman" w:hAnsi="Times New Roman"/>
                <w:b/>
                <w:sz w:val="28"/>
                <w:szCs w:val="28"/>
              </w:rPr>
              <w:t>制</w:t>
            </w:r>
          </w:p>
        </w:tc>
        <w:tc>
          <w:tcPr>
            <w:tcW w:w="4621" w:type="pct"/>
            <w:tcBorders>
              <w:top w:val="single" w:color="auto" w:sz="4" w:space="0"/>
              <w:left w:val="single" w:color="auto" w:sz="4" w:space="0"/>
              <w:bottom w:val="single" w:color="auto" w:sz="4" w:space="0"/>
              <w:right w:val="single" w:color="auto" w:sz="4" w:space="0"/>
            </w:tcBorders>
            <w:vAlign w:val="center"/>
          </w:tcPr>
          <w:p>
            <w:pPr>
              <w:spacing w:line="360" w:lineRule="auto"/>
              <w:ind w:firstLine="560" w:firstLineChars="200"/>
              <w:rPr>
                <w:sz w:val="28"/>
                <w:szCs w:val="28"/>
              </w:rPr>
            </w:pPr>
            <w:r>
              <w:rPr>
                <w:rFonts w:hint="eastAsia"/>
                <w:sz w:val="28"/>
                <w:szCs w:val="28"/>
              </w:rPr>
              <w:t>参照《“十三五”挥发性有机物污染防治工作方案》要求，全面加强挥发性有机物（VOCs）污染防治工作。</w:t>
            </w:r>
          </w:p>
          <w:p>
            <w:pPr>
              <w:spacing w:line="360" w:lineRule="auto"/>
              <w:ind w:firstLine="560" w:firstLineChars="200"/>
              <w:rPr>
                <w:sz w:val="28"/>
                <w:szCs w:val="28"/>
              </w:rPr>
            </w:pPr>
            <w:r>
              <w:rPr>
                <w:sz w:val="28"/>
                <w:szCs w:val="28"/>
              </w:rPr>
              <w:t>根据</w:t>
            </w:r>
            <w:r>
              <w:rPr>
                <w:rFonts w:hint="eastAsia"/>
                <w:sz w:val="28"/>
                <w:szCs w:val="28"/>
              </w:rPr>
              <w:t>本项目</w:t>
            </w:r>
            <w:r>
              <w:rPr>
                <w:sz w:val="28"/>
                <w:szCs w:val="28"/>
              </w:rPr>
              <w:t>工程分析，本项目排放的</w:t>
            </w:r>
            <w:r>
              <w:rPr>
                <w:rFonts w:hint="eastAsia"/>
                <w:sz w:val="28"/>
                <w:szCs w:val="28"/>
              </w:rPr>
              <w:t>各类污染物</w:t>
            </w:r>
            <w:r>
              <w:rPr>
                <w:sz w:val="28"/>
                <w:szCs w:val="28"/>
              </w:rPr>
              <w:t>中被纳入总量控制要求的如下表所示。</w:t>
            </w:r>
          </w:p>
          <w:p>
            <w:pPr>
              <w:spacing w:line="360" w:lineRule="auto"/>
              <w:jc w:val="center"/>
              <w:rPr>
                <w:b/>
                <w:sz w:val="24"/>
                <w:szCs w:val="24"/>
              </w:rPr>
            </w:pPr>
            <w:r>
              <w:rPr>
                <w:b/>
                <w:sz w:val="24"/>
                <w:szCs w:val="24"/>
              </w:rPr>
              <w:t>表</w:t>
            </w:r>
            <w:r>
              <w:rPr>
                <w:rFonts w:hint="eastAsia"/>
                <w:b/>
                <w:sz w:val="24"/>
                <w:szCs w:val="24"/>
              </w:rPr>
              <w:t>25</w:t>
            </w:r>
            <w:r>
              <w:rPr>
                <w:b/>
                <w:sz w:val="24"/>
                <w:szCs w:val="24"/>
              </w:rPr>
              <w:t xml:space="preserve">     总量控制指标入下表所示</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22"/>
              <w:gridCol w:w="419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2509" w:type="pct"/>
                  <w:shd w:val="clear" w:color="auto" w:fill="auto"/>
                  <w:vAlign w:val="center"/>
                </w:tcPr>
                <w:p>
                  <w:pPr>
                    <w:widowControl/>
                    <w:jc w:val="center"/>
                    <w:rPr>
                      <w:kern w:val="0"/>
                      <w:szCs w:val="21"/>
                      <w:lang w:val="zh-CN"/>
                    </w:rPr>
                  </w:pPr>
                  <w:r>
                    <w:rPr>
                      <w:kern w:val="0"/>
                      <w:szCs w:val="21"/>
                      <w:lang w:val="zh-CN"/>
                    </w:rPr>
                    <w:t>污染物</w:t>
                  </w:r>
                </w:p>
              </w:tc>
              <w:tc>
                <w:tcPr>
                  <w:tcW w:w="2491" w:type="pct"/>
                  <w:shd w:val="clear" w:color="auto" w:fill="auto"/>
                  <w:vAlign w:val="center"/>
                </w:tcPr>
                <w:p>
                  <w:pPr>
                    <w:widowControl/>
                    <w:jc w:val="center"/>
                    <w:rPr>
                      <w:kern w:val="0"/>
                      <w:szCs w:val="21"/>
                      <w:lang w:val="zh-CN"/>
                    </w:rPr>
                  </w:pPr>
                  <w:r>
                    <w:rPr>
                      <w:kern w:val="0"/>
                      <w:szCs w:val="21"/>
                      <w:lang w:val="zh-CN"/>
                    </w:rPr>
                    <w:t>工程预测排放量</w:t>
                  </w:r>
                  <w:r>
                    <w:rPr>
                      <w:rFonts w:hint="eastAsia"/>
                      <w:kern w:val="0"/>
                      <w:szCs w:val="21"/>
                      <w:lang w:val="zh-CN"/>
                    </w:rPr>
                    <w:t>（kg/a）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509" w:type="pct"/>
                  <w:shd w:val="clear" w:color="auto" w:fill="auto"/>
                  <w:vAlign w:val="center"/>
                </w:tcPr>
                <w:p>
                  <w:pPr>
                    <w:widowControl/>
                    <w:jc w:val="center"/>
                    <w:rPr>
                      <w:kern w:val="0"/>
                      <w:szCs w:val="21"/>
                      <w:lang w:val="zh-CN"/>
                    </w:rPr>
                  </w:pPr>
                  <w:r>
                    <w:rPr>
                      <w:rFonts w:hint="eastAsia"/>
                      <w:kern w:val="0"/>
                      <w:szCs w:val="21"/>
                      <w:lang w:val="zh-CN"/>
                    </w:rPr>
                    <w:t>VOCs（非甲烷总烃）</w:t>
                  </w:r>
                </w:p>
              </w:tc>
              <w:tc>
                <w:tcPr>
                  <w:tcW w:w="2491" w:type="pct"/>
                  <w:shd w:val="clear" w:color="auto" w:fill="auto"/>
                  <w:vAlign w:val="bottom"/>
                </w:tcPr>
                <w:p>
                  <w:pPr>
                    <w:widowControl/>
                    <w:jc w:val="center"/>
                    <w:rPr>
                      <w:kern w:val="0"/>
                      <w:szCs w:val="21"/>
                      <w:lang w:val="zh-CN"/>
                    </w:rPr>
                  </w:pPr>
                  <w:r>
                    <w:rPr>
                      <w:kern w:val="0"/>
                      <w:szCs w:val="21"/>
                      <w:lang w:val="zh-CN"/>
                    </w:rPr>
                    <w:t>468.55</w:t>
                  </w:r>
                </w:p>
              </w:tc>
            </w:tr>
          </w:tbl>
          <w:p>
            <w:pPr>
              <w:spacing w:line="360" w:lineRule="auto"/>
              <w:ind w:right="71" w:rightChars="34"/>
              <w:rPr>
                <w:rFonts w:ascii="Times New Roman" w:hAnsi="Times New Roman"/>
                <w:sz w:val="24"/>
              </w:rPr>
            </w:pPr>
          </w:p>
        </w:tc>
      </w:tr>
    </w:tbl>
    <w:p>
      <w:pPr>
        <w:pageBreakBefore/>
        <w:spacing w:line="240" w:lineRule="atLeast"/>
        <w:outlineLvl w:val="0"/>
        <w:rPr>
          <w:rFonts w:ascii="Times New Roman" w:hAnsi="Times New Roman" w:eastAsiaTheme="minorEastAsia"/>
          <w:b/>
          <w:bCs/>
          <w:kern w:val="18"/>
          <w:sz w:val="32"/>
          <w:szCs w:val="28"/>
        </w:rPr>
      </w:pPr>
      <w:bookmarkStart w:id="6" w:name="_Toc536626591"/>
      <w:r>
        <w:rPr>
          <w:rFonts w:ascii="Times New Roman" w:hAnsi="Times New Roman" w:eastAsiaTheme="minorEastAsia"/>
          <w:b/>
          <w:bCs/>
          <w:kern w:val="18"/>
          <w:sz w:val="32"/>
          <w:szCs w:val="28"/>
        </w:rPr>
        <w:t>建设项目工程分析</w:t>
      </w:r>
      <w:bookmarkEnd w:id="6"/>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tcPr>
          <w:p>
            <w:pPr>
              <w:spacing w:line="360" w:lineRule="auto"/>
              <w:rPr>
                <w:rFonts w:ascii="Times New Roman" w:hAnsi="Times New Roman"/>
                <w:b/>
                <w:sz w:val="28"/>
                <w:szCs w:val="28"/>
              </w:rPr>
            </w:pPr>
            <w:r>
              <w:rPr>
                <w:rFonts w:ascii="Times New Roman" w:hAnsi="Times New Roman"/>
                <w:b/>
                <w:sz w:val="28"/>
                <w:szCs w:val="28"/>
              </w:rPr>
              <w:t>工艺流程及简述（图示）：</w:t>
            </w:r>
          </w:p>
          <w:p>
            <w:pPr>
              <w:keepNext/>
              <w:adjustRightInd w:val="0"/>
              <w:snapToGrid w:val="0"/>
              <w:spacing w:line="360" w:lineRule="auto"/>
              <w:ind w:left="541" w:right="142"/>
              <w:jc w:val="center"/>
              <w:outlineLvl w:val="1"/>
              <w:rPr>
                <w:rFonts w:ascii="Times New Roman" w:hAnsi="Times New Roman"/>
                <w:b/>
                <w:sz w:val="24"/>
              </w:rPr>
            </w:pPr>
            <w:r>
              <w:rPr>
                <w:rFonts w:ascii="Times New Roman" w:hAnsi="Times New Roman"/>
              </w:rPr>
              <mc:AlternateContent>
                <mc:Choice Requires="wpc">
                  <w:drawing>
                    <wp:anchor distT="0" distB="0" distL="114300" distR="114300" simplePos="0" relativeHeight="251661312" behindDoc="0" locked="0" layoutInCell="1" allowOverlap="1">
                      <wp:simplePos x="0" y="0"/>
                      <wp:positionH relativeFrom="column">
                        <wp:posOffset>164465</wp:posOffset>
                      </wp:positionH>
                      <wp:positionV relativeFrom="paragraph">
                        <wp:posOffset>17780</wp:posOffset>
                      </wp:positionV>
                      <wp:extent cx="4999990" cy="1948815"/>
                      <wp:effectExtent l="0" t="0" r="10160" b="13335"/>
                      <wp:wrapTopAndBottom/>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12700" cap="flat" cmpd="sng" algn="ctr">
                                <a:solidFill>
                                  <a:srgbClr val="000000"/>
                                </a:solidFill>
                                <a:prstDash val="solid"/>
                                <a:miter lim="800000"/>
                                <a:headEnd type="none" w="med" len="med"/>
                                <a:tailEnd type="none" w="med" len="med"/>
                              </a:ln>
                            </wpc:whole>
                            <wps:wsp>
                              <wps:cNvPr id="48" name="直线 578"/>
                              <wps:cNvCnPr/>
                              <wps:spPr bwMode="auto">
                                <a:xfrm flipH="1">
                                  <a:off x="2856230" y="614880"/>
                                  <a:ext cx="635" cy="323956"/>
                                </a:xfrm>
                                <a:prstGeom prst="line">
                                  <a:avLst/>
                                </a:prstGeom>
                                <a:noFill/>
                                <a:ln w="9525" cmpd="sng">
                                  <a:solidFill>
                                    <a:srgbClr val="000000"/>
                                  </a:solidFill>
                                  <a:round/>
                                  <a:tailEnd type="stealth" w="sm" len="sm"/>
                                </a:ln>
                                <a:effectLst/>
                              </wps:spPr>
                              <wps:bodyPr/>
                            </wps:wsp>
                            <wps:wsp>
                              <wps:cNvPr id="49" name="文本框 579"/>
                              <wps:cNvSpPr txBox="1">
                                <a:spLocks noChangeArrowheads="1"/>
                              </wps:cNvSpPr>
                              <wps:spPr bwMode="auto">
                                <a:xfrm>
                                  <a:off x="2166620" y="382395"/>
                                  <a:ext cx="1249680" cy="224863"/>
                                </a:xfrm>
                                <a:prstGeom prst="rect">
                                  <a:avLst/>
                                </a:prstGeom>
                                <a:solidFill>
                                  <a:srgbClr val="FFFFFF"/>
                                </a:solidFill>
                                <a:ln w="9525" cmpd="sng">
                                  <a:solidFill>
                                    <a:srgbClr val="000000"/>
                                  </a:solidFill>
                                  <a:miter lim="800000"/>
                                </a:ln>
                                <a:effectLst/>
                              </wps:spPr>
                              <wps:txbx>
                                <w:txbxContent>
                                  <w:p>
                                    <w:pPr>
                                      <w:spacing w:line="320" w:lineRule="exact"/>
                                    </w:pPr>
                                    <w:r>
                                      <w:rPr>
                                        <w:rFonts w:hint="eastAsia"/>
                                      </w:rPr>
                                      <w:t>建筑材料堆放、运输</w:t>
                                    </w:r>
                                  </w:p>
                                  <w:p>
                                    <w:pPr>
                                      <w:pStyle w:val="7"/>
                                      <w:spacing w:line="360" w:lineRule="exact"/>
                                      <w:ind w:firstLine="0"/>
                                      <w:rPr>
                                        <w:rFonts w:ascii="Arial" w:hAnsi="宋体" w:cs="Arial"/>
                                        <w:szCs w:val="21"/>
                                      </w:rPr>
                                    </w:pPr>
                                  </w:p>
                                  <w:p>
                                    <w:pPr>
                                      <w:spacing w:line="280" w:lineRule="exact"/>
                                      <w:rPr>
                                        <w:rFonts w:hAnsi="Arial" w:cs="Arial"/>
                                      </w:rPr>
                                    </w:pPr>
                                  </w:p>
                                  <w:p>
                                    <w:pPr>
                                      <w:jc w:val="center"/>
                                    </w:pPr>
                                    <w:r>
                                      <w:rPr>
                                        <w:rFonts w:hint="eastAsia"/>
                                      </w:rPr>
                                      <w:t>料堆放、运输　</w:t>
                                    </w:r>
                                  </w:p>
                                </w:txbxContent>
                              </wps:txbx>
                              <wps:bodyPr rot="0" vert="horz" wrap="square" lIns="18000" tIns="18000" rIns="18000" bIns="18000" anchor="t" anchorCtr="0" upright="1">
                                <a:noAutofit/>
                              </wps:bodyPr>
                            </wps:wsp>
                            <wps:wsp>
                              <wps:cNvPr id="50" name="直线 580"/>
                              <wps:cNvCnPr/>
                              <wps:spPr bwMode="auto">
                                <a:xfrm flipV="1">
                                  <a:off x="908050" y="1061431"/>
                                  <a:ext cx="399415" cy="635"/>
                                </a:xfrm>
                                <a:prstGeom prst="line">
                                  <a:avLst/>
                                </a:prstGeom>
                                <a:noFill/>
                                <a:ln w="9525" cmpd="sng">
                                  <a:solidFill>
                                    <a:srgbClr val="000000"/>
                                  </a:solidFill>
                                  <a:round/>
                                  <a:tailEnd type="stealth" w="sm" len="sm"/>
                                </a:ln>
                                <a:effectLst/>
                              </wps:spPr>
                              <wps:bodyPr/>
                            </wps:wsp>
                            <wps:wsp>
                              <wps:cNvPr id="51" name="文本框 581"/>
                              <wps:cNvSpPr txBox="1">
                                <a:spLocks noChangeArrowheads="1"/>
                              </wps:cNvSpPr>
                              <wps:spPr bwMode="auto">
                                <a:xfrm>
                                  <a:off x="1289685" y="947094"/>
                                  <a:ext cx="709295" cy="262976"/>
                                </a:xfrm>
                                <a:prstGeom prst="rect">
                                  <a:avLst/>
                                </a:prstGeom>
                                <a:solidFill>
                                  <a:srgbClr val="FFFFFF"/>
                                </a:solidFill>
                                <a:ln w="9525" cmpd="sng">
                                  <a:solidFill>
                                    <a:srgbClr val="000000"/>
                                  </a:solidFill>
                                  <a:miter lim="800000"/>
                                </a:ln>
                                <a:effectLst/>
                              </wps:spPr>
                              <wps:txbx>
                                <w:txbxContent>
                                  <w:p>
                                    <w:pPr>
                                      <w:jc w:val="center"/>
                                    </w:pPr>
                                    <w:r>
                                      <w:rPr>
                                        <w:rFonts w:hint="eastAsia"/>
                                      </w:rPr>
                                      <w:t>土方开挖</w:t>
                                    </w:r>
                                  </w:p>
                                </w:txbxContent>
                              </wps:txbx>
                              <wps:bodyPr rot="0" vert="horz" wrap="square" lIns="18000" tIns="18000" rIns="18000" bIns="18000" anchor="t" anchorCtr="0" upright="1">
                                <a:noAutofit/>
                              </wps:bodyPr>
                            </wps:wsp>
                            <wps:wsp>
                              <wps:cNvPr id="52" name="文本框 582"/>
                              <wps:cNvSpPr txBox="1">
                                <a:spLocks noChangeArrowheads="1"/>
                              </wps:cNvSpPr>
                              <wps:spPr bwMode="auto">
                                <a:xfrm>
                                  <a:off x="205740" y="947729"/>
                                  <a:ext cx="708660" cy="253448"/>
                                </a:xfrm>
                                <a:prstGeom prst="rect">
                                  <a:avLst/>
                                </a:prstGeom>
                                <a:solidFill>
                                  <a:srgbClr val="FFFFFF"/>
                                </a:solidFill>
                                <a:ln w="9525" cmpd="sng">
                                  <a:solidFill>
                                    <a:srgbClr val="000000"/>
                                  </a:solidFill>
                                  <a:miter lim="800000"/>
                                </a:ln>
                                <a:effectLst/>
                              </wps:spPr>
                              <wps:txbx>
                                <w:txbxContent>
                                  <w:p>
                                    <w:pPr>
                                      <w:jc w:val="center"/>
                                    </w:pPr>
                                    <w:r>
                                      <w:rPr>
                                        <w:rFonts w:hint="eastAsia"/>
                                      </w:rPr>
                                      <w:t>场地平整</w:t>
                                    </w:r>
                                  </w:p>
                                </w:txbxContent>
                              </wps:txbx>
                              <wps:bodyPr rot="0" vert="horz" wrap="square" lIns="18000" tIns="18000" rIns="18000" bIns="18000" anchor="t" anchorCtr="0" upright="1">
                                <a:noAutofit/>
                              </wps:bodyPr>
                            </wps:wsp>
                            <wps:wsp>
                              <wps:cNvPr id="53" name="文本框 583"/>
                              <wps:cNvSpPr txBox="1">
                                <a:spLocks noChangeArrowheads="1"/>
                              </wps:cNvSpPr>
                              <wps:spPr bwMode="auto">
                                <a:xfrm>
                                  <a:off x="2415540" y="933119"/>
                                  <a:ext cx="1316990" cy="272504"/>
                                </a:xfrm>
                                <a:prstGeom prst="rect">
                                  <a:avLst/>
                                </a:prstGeom>
                                <a:solidFill>
                                  <a:srgbClr val="FFFFFF"/>
                                </a:solidFill>
                                <a:ln w="9525" cmpd="sng">
                                  <a:solidFill>
                                    <a:srgbClr val="000000"/>
                                  </a:solidFill>
                                  <a:miter lim="800000"/>
                                </a:ln>
                                <a:effectLst/>
                              </wps:spPr>
                              <wps:txbx>
                                <w:txbxContent>
                                  <w:p>
                                    <w:pPr>
                                      <w:jc w:val="center"/>
                                    </w:pPr>
                                    <w:r>
                                      <w:rPr>
                                        <w:rFonts w:hint="eastAsia"/>
                                      </w:rPr>
                                      <w:t>站房、储油罐区建设等</w:t>
                                    </w:r>
                                  </w:p>
                                </w:txbxContent>
                              </wps:txbx>
                              <wps:bodyPr rot="0" vert="horz" wrap="square" lIns="18000" tIns="18000" rIns="18000" bIns="18000" anchor="t" anchorCtr="0" upright="1">
                                <a:noAutofit/>
                              </wps:bodyPr>
                            </wps:wsp>
                            <wps:wsp>
                              <wps:cNvPr id="54" name="文本框 584"/>
                              <wps:cNvSpPr txBox="1">
                                <a:spLocks noChangeArrowheads="1"/>
                              </wps:cNvSpPr>
                              <wps:spPr bwMode="auto">
                                <a:xfrm>
                                  <a:off x="4138295" y="943282"/>
                                  <a:ext cx="708660" cy="253448"/>
                                </a:xfrm>
                                <a:prstGeom prst="rect">
                                  <a:avLst/>
                                </a:prstGeom>
                                <a:solidFill>
                                  <a:srgbClr val="FFFFFF"/>
                                </a:solidFill>
                                <a:ln w="9525" cmpd="sng">
                                  <a:solidFill>
                                    <a:srgbClr val="000000"/>
                                  </a:solidFill>
                                  <a:miter lim="800000"/>
                                </a:ln>
                                <a:effectLst/>
                              </wps:spPr>
                              <wps:txbx>
                                <w:txbxContent>
                                  <w:p>
                                    <w:pPr>
                                      <w:jc w:val="center"/>
                                    </w:pPr>
                                    <w:r>
                                      <w:rPr>
                                        <w:rFonts w:hint="eastAsia"/>
                                      </w:rPr>
                                      <w:t>配套设施</w:t>
                                    </w:r>
                                  </w:p>
                                </w:txbxContent>
                              </wps:txbx>
                              <wps:bodyPr rot="0" vert="horz" wrap="square" lIns="18000" tIns="18000" rIns="18000" bIns="18000" anchor="t" anchorCtr="0" upright="1">
                                <a:noAutofit/>
                              </wps:bodyPr>
                            </wps:wsp>
                            <wps:wsp>
                              <wps:cNvPr id="55" name="直线 585"/>
                              <wps:cNvCnPr/>
                              <wps:spPr bwMode="auto">
                                <a:xfrm flipV="1">
                                  <a:off x="2014220" y="1061431"/>
                                  <a:ext cx="399415" cy="635"/>
                                </a:xfrm>
                                <a:prstGeom prst="line">
                                  <a:avLst/>
                                </a:prstGeom>
                                <a:noFill/>
                                <a:ln w="9525" cmpd="sng">
                                  <a:solidFill>
                                    <a:srgbClr val="000000"/>
                                  </a:solidFill>
                                  <a:round/>
                                  <a:tailEnd type="stealth" w="sm" len="sm"/>
                                </a:ln>
                                <a:effectLst/>
                              </wps:spPr>
                              <wps:bodyPr/>
                            </wps:wsp>
                            <wps:wsp>
                              <wps:cNvPr id="56" name="直线 586"/>
                              <wps:cNvCnPr/>
                              <wps:spPr bwMode="auto">
                                <a:xfrm flipV="1">
                                  <a:off x="3744595" y="1070959"/>
                                  <a:ext cx="407035" cy="635"/>
                                </a:xfrm>
                                <a:prstGeom prst="line">
                                  <a:avLst/>
                                </a:prstGeom>
                                <a:noFill/>
                                <a:ln w="9525" cmpd="sng">
                                  <a:solidFill>
                                    <a:srgbClr val="000000"/>
                                  </a:solidFill>
                                  <a:round/>
                                  <a:tailEnd type="stealth" w="sm" len="sm"/>
                                </a:ln>
                                <a:effectLst/>
                              </wps:spPr>
                              <wps:bodyPr/>
                            </wps:wsp>
                            <wps:wsp>
                              <wps:cNvPr id="57" name="文本框 587"/>
                              <wps:cNvSpPr txBox="1">
                                <a:spLocks noChangeArrowheads="1"/>
                              </wps:cNvSpPr>
                              <wps:spPr bwMode="auto">
                                <a:xfrm>
                                  <a:off x="78105" y="691105"/>
                                  <a:ext cx="708660" cy="224863"/>
                                </a:xfrm>
                                <a:prstGeom prst="rect">
                                  <a:avLst/>
                                </a:prstGeom>
                                <a:noFill/>
                                <a:ln>
                                  <a:noFill/>
                                </a:ln>
                                <a:effectLst/>
                              </wps:spPr>
                              <wps:txbx>
                                <w:txbxContent>
                                  <w:p>
                                    <w:pPr>
                                      <w:jc w:val="center"/>
                                    </w:pPr>
                                    <w:r>
                                      <w:rPr>
                                        <w:rFonts w:hint="eastAsia"/>
                                      </w:rPr>
                                      <w:t>G N S</w:t>
                                    </w:r>
                                  </w:p>
                                </w:txbxContent>
                              </wps:txbx>
                              <wps:bodyPr rot="0" vert="horz" wrap="square" lIns="18000" tIns="18000" rIns="18000" bIns="18000" anchor="t" anchorCtr="0" upright="1">
                                <a:noAutofit/>
                              </wps:bodyPr>
                            </wps:wsp>
                            <wps:wsp>
                              <wps:cNvPr id="58" name="文本框 588"/>
                              <wps:cNvSpPr txBox="1">
                                <a:spLocks noChangeArrowheads="1"/>
                              </wps:cNvSpPr>
                              <wps:spPr bwMode="auto">
                                <a:xfrm>
                                  <a:off x="4048125" y="702539"/>
                                  <a:ext cx="683895" cy="224863"/>
                                </a:xfrm>
                                <a:prstGeom prst="rect">
                                  <a:avLst/>
                                </a:prstGeom>
                                <a:noFill/>
                                <a:ln>
                                  <a:noFill/>
                                </a:ln>
                                <a:effectLst/>
                              </wps:spPr>
                              <wps:txbx>
                                <w:txbxContent>
                                  <w:p>
                                    <w:pPr>
                                      <w:jc w:val="center"/>
                                    </w:pPr>
                                    <w:r>
                                      <w:rPr>
                                        <w:rFonts w:hint="eastAsia"/>
                                      </w:rPr>
                                      <w:t>N S W</w:t>
                                    </w:r>
                                  </w:p>
                                </w:txbxContent>
                              </wps:txbx>
                              <wps:bodyPr rot="0" vert="horz" wrap="square" lIns="18000" tIns="18000" rIns="18000" bIns="18000" anchor="t" anchorCtr="0" upright="1">
                                <a:noAutofit/>
                              </wps:bodyPr>
                            </wps:wsp>
                            <wps:wsp>
                              <wps:cNvPr id="59" name="文本框 589"/>
                              <wps:cNvSpPr txBox="1">
                                <a:spLocks noChangeArrowheads="1"/>
                              </wps:cNvSpPr>
                              <wps:spPr bwMode="auto">
                                <a:xfrm>
                                  <a:off x="2496820" y="150544"/>
                                  <a:ext cx="708660" cy="224228"/>
                                </a:xfrm>
                                <a:prstGeom prst="rect">
                                  <a:avLst/>
                                </a:prstGeom>
                                <a:noFill/>
                                <a:ln>
                                  <a:noFill/>
                                </a:ln>
                                <a:effectLst/>
                              </wps:spPr>
                              <wps:txbx>
                                <w:txbxContent>
                                  <w:p>
                                    <w:pPr>
                                      <w:jc w:val="center"/>
                                    </w:pPr>
                                    <w:r>
                                      <w:rPr>
                                        <w:rFonts w:hint="eastAsia"/>
                                      </w:rPr>
                                      <w:t>G S N</w:t>
                                    </w:r>
                                  </w:p>
                                  <w:p/>
                                </w:txbxContent>
                              </wps:txbx>
                              <wps:bodyPr rot="0" vert="horz" wrap="square" lIns="18000" tIns="18000" rIns="18000" bIns="18000" anchor="t" anchorCtr="0" upright="1">
                                <a:noAutofit/>
                              </wps:bodyPr>
                            </wps:wsp>
                            <wps:wsp>
                              <wps:cNvPr id="60" name="文本框 590"/>
                              <wps:cNvSpPr txBox="1">
                                <a:spLocks noChangeArrowheads="1"/>
                              </wps:cNvSpPr>
                              <wps:spPr bwMode="auto">
                                <a:xfrm>
                                  <a:off x="1176655" y="706985"/>
                                  <a:ext cx="708660" cy="224863"/>
                                </a:xfrm>
                                <a:prstGeom prst="rect">
                                  <a:avLst/>
                                </a:prstGeom>
                                <a:noFill/>
                                <a:ln>
                                  <a:noFill/>
                                </a:ln>
                                <a:effectLst/>
                              </wps:spPr>
                              <wps:txbx>
                                <w:txbxContent>
                                  <w:p>
                                    <w:pPr>
                                      <w:jc w:val="center"/>
                                    </w:pPr>
                                    <w:r>
                                      <w:rPr>
                                        <w:rFonts w:hint="eastAsia"/>
                                      </w:rPr>
                                      <w:t>G N S</w:t>
                                    </w:r>
                                  </w:p>
                                </w:txbxContent>
                              </wps:txbx>
                              <wps:bodyPr rot="0" vert="horz" wrap="square" lIns="18000" tIns="18000" rIns="18000" bIns="18000" anchor="t" anchorCtr="0" upright="1">
                                <a:noAutofit/>
                              </wps:bodyPr>
                            </wps:wsp>
                            <wps:wsp>
                              <wps:cNvPr id="61" name="文本框 591"/>
                              <wps:cNvSpPr txBox="1">
                                <a:spLocks noChangeArrowheads="1"/>
                              </wps:cNvSpPr>
                              <wps:spPr bwMode="auto">
                                <a:xfrm>
                                  <a:off x="2235200" y="721595"/>
                                  <a:ext cx="708660" cy="224863"/>
                                </a:xfrm>
                                <a:prstGeom prst="rect">
                                  <a:avLst/>
                                </a:prstGeom>
                                <a:noFill/>
                                <a:ln>
                                  <a:noFill/>
                                </a:ln>
                                <a:effectLst/>
                              </wps:spPr>
                              <wps:txbx>
                                <w:txbxContent>
                                  <w:p>
                                    <w:pPr>
                                      <w:jc w:val="center"/>
                                    </w:pPr>
                                    <w:r>
                                      <w:rPr>
                                        <w:rFonts w:hint="eastAsia"/>
                                      </w:rPr>
                                      <w:t>G N S W</w:t>
                                    </w:r>
                                  </w:p>
                                </w:txbxContent>
                              </wps:txbx>
                              <wps:bodyPr rot="0" vert="horz" wrap="square" lIns="18000" tIns="18000" rIns="18000" bIns="18000" anchor="t" anchorCtr="0" upright="1">
                                <a:noAutofit/>
                              </wps:bodyPr>
                            </wps:wsp>
                            <wps:wsp>
                              <wps:cNvPr id="62" name="文本框 592"/>
                              <wps:cNvSpPr txBox="1">
                                <a:spLocks noChangeArrowheads="1"/>
                              </wps:cNvSpPr>
                              <wps:spPr bwMode="auto">
                                <a:xfrm>
                                  <a:off x="121920" y="1346004"/>
                                  <a:ext cx="4752975" cy="491015"/>
                                </a:xfrm>
                                <a:prstGeom prst="rect">
                                  <a:avLst/>
                                </a:prstGeom>
                                <a:noFill/>
                                <a:ln w="9525" cmpd="sng">
                                  <a:solidFill>
                                    <a:srgbClr val="000000"/>
                                  </a:solidFill>
                                  <a:miter lim="800000"/>
                                </a:ln>
                                <a:effectLst/>
                              </wps:spPr>
                              <wps:txbx>
                                <w:txbxContent>
                                  <w:p>
                                    <w:r>
                                      <w:rPr>
                                        <w:rFonts w:hint="eastAsia"/>
                                        <w:b/>
                                      </w:rPr>
                                      <w:t>图例：</w:t>
                                    </w:r>
                                    <w:r>
                                      <w:rPr>
                                        <w:rFonts w:hint="eastAsia"/>
                                      </w:rPr>
                                      <w:t xml:space="preserve">                             </w:t>
                                    </w:r>
                                  </w:p>
                                  <w:p>
                                    <w:r>
                                      <w:rPr>
                                        <w:rFonts w:hint="eastAsia"/>
                                      </w:rPr>
                                      <w:t>G 废气    N噪声    W 废水    S 固废</w:t>
                                    </w:r>
                                  </w:p>
                                </w:txbxContent>
                              </wps:txbx>
                              <wps:bodyPr rot="0" vert="horz" wrap="square" lIns="18000" tIns="18000" rIns="18000" bIns="18000" anchor="t" anchorCtr="0" upright="1">
                                <a:noAutofit/>
                              </wps:bodyPr>
                            </wps:wsp>
                          </wpc:wpc>
                        </a:graphicData>
                      </a:graphic>
                    </wp:anchor>
                  </w:drawing>
                </mc:Choice>
                <mc:Fallback>
                  <w:pict>
                    <v:group id="_x0000_s1026" o:spid="_x0000_s1026" o:spt="203" style="position:absolute;left:0pt;margin-left:12.95pt;margin-top:1.4pt;height:153.45pt;width:393.7pt;mso-wrap-distance-bottom:0pt;mso-wrap-distance-top:0pt;z-index:251661312;mso-width-relative:page;mso-height-relative:page;" coordsize="4999990,1948815" editas="canvas" o:gfxdata="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&#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">
                      <o:lock v:ext="edit" aspectratio="f"/>
                      <v:shape id="_x0000_s1026" o:spid="_x0000_s1026" style="position:absolute;left:0;top:0;height:1948815;width:4999990;" filled="f" stroked="t" coordsize="21600,21600" o:gfxdata="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&#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">
                        <v:fill on="f" focussize="0,0"/>
                        <v:stroke weight="1pt" color="#000000" miterlimit="8" joinstyle="miter"/>
                        <v:imagedata o:title=""/>
                        <o:lock v:ext="edit" aspectratio="t"/>
                      </v:shape>
                      <v:line id="直线 578" o:spid="_x0000_s1026" o:spt="20" style="position:absolute;left:2856230;top:614880;flip:x;height:323956;width:635;" filled="f" stroked="t" coordsize="21600,21600" o:gfxdata="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j8X72AAAAAgBAAAP&#10;AAAAAAAAAAEAIAAAACIAAABkcnMvZG93bnJldi54bWxQSwECFAAUAAAACACHTuJAmFmoiN8BAAB+&#10;AwAADgAAAAAAAAABACAAAAAnAQAAZHJzL2Uyb0RvYy54bWxQSwUGAAAAAAYABgBZAQAAeAUAAAAA&#10;">
                        <v:fill on="f" focussize="0,0"/>
                        <v:stroke color="#000000" joinstyle="round" endarrow="classic" endarrowwidth="narrow" endarrowlength="short"/>
                        <v:imagedata o:title=""/>
                        <o:lock v:ext="edit" aspectratio="f"/>
                      </v:line>
                      <v:shape id="文本框 579" o:spid="_x0000_s1026" o:spt="202" type="#_x0000_t202" style="position:absolute;left:2166620;top:382395;height:224863;width:1249680;" fillcolor="#FFFFFF" filled="t" stroked="t" coordsize="21600,21600" o:gfxdata="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u5HtX2gAAAAgBAAAPAAAAAAAAAAEAIAAAACIAAABkcnMv&#10;ZG93bnJldi54bWxQSwECFAAUAAAACACHTuJAxuMkDToCAABgBAAADgAAAAAAAAABACAAAAApAQAA&#10;ZHJzL2Uyb0RvYy54bWxQSwUGAAAAAAYABgBZAQAA1QUAAAAA&#10;">
                        <v:fill on="t" focussize="0,0"/>
                        <v:stroke color="#000000" miterlimit="8" joinstyle="miter"/>
                        <v:imagedata o:title=""/>
                        <o:lock v:ext="edit" aspectratio="f"/>
                        <v:textbox inset="0.5mm,0.5mm,0.5mm,0.5mm">
                          <w:txbxContent>
                            <w:p>
                              <w:pPr>
                                <w:spacing w:line="320" w:lineRule="exact"/>
                              </w:pPr>
                              <w:r>
                                <w:rPr>
                                  <w:rFonts w:hint="eastAsia"/>
                                </w:rPr>
                                <w:t>建筑材料堆放、运输</w:t>
                              </w:r>
                            </w:p>
                            <w:p>
                              <w:pPr>
                                <w:pStyle w:val="7"/>
                                <w:spacing w:line="360" w:lineRule="exact"/>
                                <w:ind w:firstLine="0"/>
                                <w:rPr>
                                  <w:rFonts w:ascii="Arial" w:hAnsi="宋体" w:cs="Arial"/>
                                  <w:szCs w:val="21"/>
                                </w:rPr>
                              </w:pPr>
                            </w:p>
                            <w:p>
                              <w:pPr>
                                <w:spacing w:line="280" w:lineRule="exact"/>
                                <w:rPr>
                                  <w:rFonts w:hAnsi="Arial" w:cs="Arial"/>
                                </w:rPr>
                              </w:pPr>
                            </w:p>
                            <w:p>
                              <w:pPr>
                                <w:jc w:val="center"/>
                              </w:pPr>
                              <w:r>
                                <w:rPr>
                                  <w:rFonts w:hint="eastAsia"/>
                                </w:rPr>
                                <w:t>料堆放、运输　</w:t>
                              </w:r>
                            </w:p>
                          </w:txbxContent>
                        </v:textbox>
                      </v:shape>
                      <v:line id="直线 580" o:spid="_x0000_s1026" o:spt="20" style="position:absolute;left:908050;top:1061431;flip:y;height:635;width:399415;" filled="f" stroked="t" coordsize="21600,21600" o:gfxdata="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qPxfvYAAAACAEAAA8AAAAA&#10;AAAAAQAgAAAAIgAAAGRycy9kb3ducmV2LnhtbFBLAQIUABQAAAAIAIdO4kDpZ7De2wEAAH4DAAAO&#10;AAAAAAAAAAEAIAAAACcBAABkcnMvZTJvRG9jLnhtbFBLBQYAAAAABgAGAFkBAAB0BQAAAAA=&#10;">
                        <v:fill on="f" focussize="0,0"/>
                        <v:stroke color="#000000" joinstyle="round" endarrow="classic" endarrowwidth="narrow" endarrowlength="short"/>
                        <v:imagedata o:title=""/>
                        <o:lock v:ext="edit" aspectratio="f"/>
                      </v:line>
                      <v:shape id="文本框 581" o:spid="_x0000_s1026" o:spt="202" type="#_x0000_t202" style="position:absolute;left:1289685;top:947094;height:262976;width:709295;" fillcolor="#FFFFFF" filled="t" stroked="t" coordsize="21600,21600" o:gfxdata="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ruR7V9oAAAAIAQAADwAAAAAAAAABACAAAAAiAAAAZHJzL2Rvd25y&#10;ZXYueG1sUEsBAhQAFAAAAAgAh07iQB5kktg1AgAAXwQAAA4AAAAAAAAAAQAgAAAAKQEAAGRycy9l&#10;Mm9Eb2MueG1sUEsFBgAAAAAGAAYAWQEAANAFAAAAAA==&#10;">
                        <v:fill on="t" focussize="0,0"/>
                        <v:stroke color="#000000" miterlimit="8" joinstyle="miter"/>
                        <v:imagedata o:title=""/>
                        <o:lock v:ext="edit" aspectratio="f"/>
                        <v:textbox inset="0.5mm,0.5mm,0.5mm,0.5mm">
                          <w:txbxContent>
                            <w:p>
                              <w:pPr>
                                <w:jc w:val="center"/>
                              </w:pPr>
                              <w:r>
                                <w:rPr>
                                  <w:rFonts w:hint="eastAsia"/>
                                </w:rPr>
                                <w:t>土方开挖</w:t>
                              </w:r>
                            </w:p>
                          </w:txbxContent>
                        </v:textbox>
                      </v:shape>
                      <v:shape id="文本框 582" o:spid="_x0000_s1026" o:spt="202" type="#_x0000_t202" style="position:absolute;left:205740;top:947729;height:253448;width:708660;" fillcolor="#FFFFFF" filled="t" stroked="t" coordsize="21600,21600" o:gfxdata="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ruR7V9oAAAAIAQAADwAAAAAAAAABACAAAAAiAAAAZHJzL2Rv&#10;d25yZXYueG1sUEsBAhQAFAAAAAgAh07iQDW7Amg4AgAAXgQAAA4AAAAAAAAAAQAgAAAAKQEAAGRy&#10;cy9lMm9Eb2MueG1sUEsFBgAAAAAGAAYAWQEAANMFAAAAAA==&#10;">
                        <v:fill on="t" focussize="0,0"/>
                        <v:stroke color="#000000" miterlimit="8" joinstyle="miter"/>
                        <v:imagedata o:title=""/>
                        <o:lock v:ext="edit" aspectratio="f"/>
                        <v:textbox inset="0.5mm,0.5mm,0.5mm,0.5mm">
                          <w:txbxContent>
                            <w:p>
                              <w:pPr>
                                <w:jc w:val="center"/>
                              </w:pPr>
                              <w:r>
                                <w:rPr>
                                  <w:rFonts w:hint="eastAsia"/>
                                </w:rPr>
                                <w:t>场地平整</w:t>
                              </w:r>
                            </w:p>
                          </w:txbxContent>
                        </v:textbox>
                      </v:shape>
                      <v:shape id="文本框 583" o:spid="_x0000_s1026" o:spt="202" type="#_x0000_t202" style="position:absolute;left:2415540;top:933119;height:272504;width:1316990;" fillcolor="#FFFFFF" filled="t" stroked="t" coordsize="21600,21600" o:gfxdata="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u5HtX2gAAAAgBAAAPAAAAAAAAAAEAIAAAACIAAABkcnMv&#10;ZG93bnJldi54bWxQSwECFAAUAAAACACHTuJAXqHLGzoCAABgBAAADgAAAAAAAAABACAAAAApAQAA&#10;ZHJzL2Uyb0RvYy54bWxQSwUGAAAAAAYABgBZAQAA1QUAAAAA&#10;">
                        <v:fill on="t" focussize="0,0"/>
                        <v:stroke color="#000000" miterlimit="8" joinstyle="miter"/>
                        <v:imagedata o:title=""/>
                        <o:lock v:ext="edit" aspectratio="f"/>
                        <v:textbox inset="0.5mm,0.5mm,0.5mm,0.5mm">
                          <w:txbxContent>
                            <w:p>
                              <w:pPr>
                                <w:jc w:val="center"/>
                              </w:pPr>
                              <w:r>
                                <w:rPr>
                                  <w:rFonts w:hint="eastAsia"/>
                                </w:rPr>
                                <w:t>站房、储油罐区建设等</w:t>
                              </w:r>
                            </w:p>
                          </w:txbxContent>
                        </v:textbox>
                      </v:shape>
                      <v:shape id="文本框 584" o:spid="_x0000_s1026" o:spt="202" type="#_x0000_t202" style="position:absolute;left:4138295;top:943282;height:253448;width:708660;" fillcolor="#FFFFFF" filled="t" stroked="t" coordsize="21600,21600" o:gfxdata="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u5HtX2gAAAAgBAAAPAAAAAAAAAAEAIAAAACIAAABkcnMv&#10;ZG93bnJldi54bWxQSwECFAAUAAAACACHTuJAdqsckToCAABfBAAADgAAAAAAAAABACAAAAApAQAA&#10;ZHJzL2Uyb0RvYy54bWxQSwUGAAAAAAYABgBZAQAA1QUAAAAA&#10;">
                        <v:fill on="t" focussize="0,0"/>
                        <v:stroke color="#000000" miterlimit="8" joinstyle="miter"/>
                        <v:imagedata o:title=""/>
                        <o:lock v:ext="edit" aspectratio="f"/>
                        <v:textbox inset="0.5mm,0.5mm,0.5mm,0.5mm">
                          <w:txbxContent>
                            <w:p>
                              <w:pPr>
                                <w:jc w:val="center"/>
                              </w:pPr>
                              <w:r>
                                <w:rPr>
                                  <w:rFonts w:hint="eastAsia"/>
                                </w:rPr>
                                <w:t>配套设施</w:t>
                              </w:r>
                            </w:p>
                          </w:txbxContent>
                        </v:textbox>
                      </v:shape>
                      <v:line id="直线 585" o:spid="_x0000_s1026" o:spt="20" style="position:absolute;left:2014220;top:1061431;flip:y;height:635;width:399415;" filled="f" stroked="t" coordsize="21600,21600" o:gfxdata="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NqPxfvYAAAACAEAAA8A&#10;AAAAAAAAAQAgAAAAIgAAAGRycy9kb3ducmV2LnhtbFBLAQIUABQAAAAIAIdO4kBsajc/3gEAAH8D&#10;AAAOAAAAAAAAAAEAIAAAACcBAABkcnMvZTJvRG9jLnhtbFBLBQYAAAAABgAGAFkBAAB3BQAAAAA=&#10;">
                        <v:fill on="f" focussize="0,0"/>
                        <v:stroke color="#000000" joinstyle="round" endarrow="classic" endarrowwidth="narrow" endarrowlength="short"/>
                        <v:imagedata o:title=""/>
                        <o:lock v:ext="edit" aspectratio="f"/>
                      </v:line>
                      <v:line id="直线 586" o:spid="_x0000_s1026" o:spt="20" style="position:absolute;left:3744595;top:1070959;flip:y;height:635;width:407035;" filled="f" stroked="t" coordsize="21600,21600" o:gfxdata="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2o/F+9gAAAAIAQAADwAA&#10;AAAAAAABACAAAAAiAAAAZHJzL2Rvd25yZXYueG1sUEsBAhQAFAAAAAgAh07iQAX7jdjdAQAAfwMA&#10;AA4AAAAAAAAAAQAgAAAAJwEAAGRycy9lMm9Eb2MueG1sUEsFBgAAAAAGAAYAWQEAAHYFAAAAAA==&#10;">
                        <v:fill on="f" focussize="0,0"/>
                        <v:stroke color="#000000" joinstyle="round" endarrow="classic" endarrowwidth="narrow" endarrowlength="short"/>
                        <v:imagedata o:title=""/>
                        <o:lock v:ext="edit" aspectratio="f"/>
                      </v:line>
                      <v:shape id="文本框 587" o:spid="_x0000_s1026" o:spt="202" type="#_x0000_t202" style="position:absolute;left:78105;top:691105;height:224863;width:708660;" filled="f" stroked="f" coordsize="21600,21600" o:gfxdata="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5jJYtgAAAAIAQAADwAAAAAAAAABACAAAAAiAAAAZHJz&#10;L2Rvd25yZXYueG1sUEsBAhQAFAAAAAgAh07iQKIcIB4EAgAA4AMAAA4AAAAAAAAAAQAgAAAAJwEA&#10;AGRycy9lMm9Eb2MueG1sUEsFBgAAAAAGAAYAWQEAAJ0FAAAAAA==&#10;">
                        <v:fill on="f" focussize="0,0"/>
                        <v:stroke on="f"/>
                        <v:imagedata o:title=""/>
                        <o:lock v:ext="edit" aspectratio="f"/>
                        <v:textbox inset="0.5mm,0.5mm,0.5mm,0.5mm">
                          <w:txbxContent>
                            <w:p>
                              <w:pPr>
                                <w:jc w:val="center"/>
                              </w:pPr>
                              <w:r>
                                <w:rPr>
                                  <w:rFonts w:hint="eastAsia"/>
                                </w:rPr>
                                <w:t>G N S</w:t>
                              </w:r>
                            </w:p>
                          </w:txbxContent>
                        </v:textbox>
                      </v:shape>
                      <v:shape id="文本框 588" o:spid="_x0000_s1026" o:spt="202" type="#_x0000_t202" style="position:absolute;left:4048125;top:702539;height:224863;width:683895;" filled="f" stroked="f" coordsize="21600,21600" o:gfxdata="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OYyWLYAAAACAEAAA8AAAAAAAAAAQAgAAAAIgAA&#10;AGRycy9kb3ducmV2LnhtbFBLAQIUABQAAAAIAIdO4kCWRpVRCAIAAOIDAAAOAAAAAAAAAAEAIAAA&#10;ACcBAABkcnMvZTJvRG9jLnhtbFBLBQYAAAAABgAGAFkBAAChBQAAAAA=&#10;">
                        <v:fill on="f" focussize="0,0"/>
                        <v:stroke on="f"/>
                        <v:imagedata o:title=""/>
                        <o:lock v:ext="edit" aspectratio="f"/>
                        <v:textbox inset="0.5mm,0.5mm,0.5mm,0.5mm">
                          <w:txbxContent>
                            <w:p>
                              <w:pPr>
                                <w:jc w:val="center"/>
                              </w:pPr>
                              <w:r>
                                <w:rPr>
                                  <w:rFonts w:hint="eastAsia"/>
                                </w:rPr>
                                <w:t>N S W</w:t>
                              </w:r>
                            </w:p>
                          </w:txbxContent>
                        </v:textbox>
                      </v:shape>
                      <v:shape id="文本框 589" o:spid="_x0000_s1026" o:spt="202" type="#_x0000_t202" style="position:absolute;left:2496820;top:150544;height:224228;width:708660;" filled="f" stroked="f" coordsize="21600,21600" o:gfxdata="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5jJYtgAAAAIAQAADwAAAAAAAAABACAAAAAiAAAA&#10;ZHJzL2Rvd25yZXYueG1sUEsBAhQAFAAAAAgAh07iQEJoRlIHAgAA4gMAAA4AAAAAAAAAAQAgAAAA&#10;JwEAAGRycy9lMm9Eb2MueG1sUEsFBgAAAAAGAAYAWQEAAKAFAAAAAA==&#10;">
                        <v:fill on="f" focussize="0,0"/>
                        <v:stroke on="f"/>
                        <v:imagedata o:title=""/>
                        <o:lock v:ext="edit" aspectratio="f"/>
                        <v:textbox inset="0.5mm,0.5mm,0.5mm,0.5mm">
                          <w:txbxContent>
                            <w:p>
                              <w:pPr>
                                <w:jc w:val="center"/>
                              </w:pPr>
                              <w:r>
                                <w:rPr>
                                  <w:rFonts w:hint="eastAsia"/>
                                </w:rPr>
                                <w:t>G S N</w:t>
                              </w:r>
                            </w:p>
                            <w:p/>
                          </w:txbxContent>
                        </v:textbox>
                      </v:shape>
                      <v:shape id="文本框 590" o:spid="_x0000_s1026" o:spt="202" type="#_x0000_t202" style="position:absolute;left:1176655;top:706985;height:224863;width:708660;" filled="f" stroked="f" coordsize="21600,21600" o:gfxdata="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DmMli2AAAAAgBAAAPAAAAAAAAAAEAIAAAACIAAABk&#10;cnMvZG93bnJldi54bWxQSwECFAAUAAAACACHTuJAHloERQYCAADiAwAADgAAAAAAAAABACAAAAAn&#10;AQAAZHJzL2Uyb0RvYy54bWxQSwUGAAAAAAYABgBZAQAAnwUAAAAA&#10;">
                        <v:fill on="f" focussize="0,0"/>
                        <v:stroke on="f"/>
                        <v:imagedata o:title=""/>
                        <o:lock v:ext="edit" aspectratio="f"/>
                        <v:textbox inset="0.5mm,0.5mm,0.5mm,0.5mm">
                          <w:txbxContent>
                            <w:p>
                              <w:pPr>
                                <w:jc w:val="center"/>
                              </w:pPr>
                              <w:r>
                                <w:rPr>
                                  <w:rFonts w:hint="eastAsia"/>
                                </w:rPr>
                                <w:t>G N S</w:t>
                              </w:r>
                            </w:p>
                          </w:txbxContent>
                        </v:textbox>
                      </v:shape>
                      <v:shape id="文本框 591" o:spid="_x0000_s1026" o:spt="202" type="#_x0000_t202" style="position:absolute;left:2235200;top:721595;height:224863;width:708660;" filled="f" stroked="f" coordsize="21600,21600" o:gfxdata="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5jJYtgAAAAIAQAADwAAAAAAAAABACAAAAAiAAAA&#10;ZHJzL2Rvd25yZXYueG1sUEsBAhQAFAAAAAgAh07iQN+b5rIHAgAA4gMAAA4AAAAAAAAAAQAgAAAA&#10;JwEAAGRycy9lMm9Eb2MueG1sUEsFBgAAAAAGAAYAWQEAAKAFAAAAAA==&#10;">
                        <v:fill on="f" focussize="0,0"/>
                        <v:stroke on="f"/>
                        <v:imagedata o:title=""/>
                        <o:lock v:ext="edit" aspectratio="f"/>
                        <v:textbox inset="0.5mm,0.5mm,0.5mm,0.5mm">
                          <w:txbxContent>
                            <w:p>
                              <w:pPr>
                                <w:jc w:val="center"/>
                              </w:pPr>
                              <w:r>
                                <w:rPr>
                                  <w:rFonts w:hint="eastAsia"/>
                                </w:rPr>
                                <w:t>G N S W</w:t>
                              </w:r>
                            </w:p>
                          </w:txbxContent>
                        </v:textbox>
                      </v:shape>
                      <v:shape id="文本框 592" o:spid="_x0000_s1026" o:spt="202" type="#_x0000_t202" style="position:absolute;left:121920;top:1346004;height:491015;width:4752975;" filled="f" stroked="t" coordsize="21600,21600" o:gfxdata="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NiGeDXAAAACAEAAA8AAAAAAAAAAQAgAAAAIgAAAGRycy9kb3ducmV2Lnht&#10;bFBLAQIUABQAAAAIAIdO4kBKtquQMwIAADcEAAAOAAAAAAAAAAEAIAAAACYBAABkcnMvZTJvRG9j&#10;LnhtbFBLBQYAAAAABgAGAFkBAADLBQAAAAA=&#10;">
                        <v:fill on="f" focussize="0,0"/>
                        <v:stroke color="#000000" miterlimit="8" joinstyle="miter"/>
                        <v:imagedata o:title=""/>
                        <o:lock v:ext="edit" aspectratio="f"/>
                        <v:textbox inset="0.5mm,0.5mm,0.5mm,0.5mm">
                          <w:txbxContent>
                            <w:p>
                              <w:r>
                                <w:rPr>
                                  <w:rFonts w:hint="eastAsia"/>
                                  <w:b/>
                                </w:rPr>
                                <w:t>图例：</w:t>
                              </w:r>
                              <w:r>
                                <w:rPr>
                                  <w:rFonts w:hint="eastAsia"/>
                                </w:rPr>
                                <w:t xml:space="preserve">                             </w:t>
                              </w:r>
                            </w:p>
                            <w:p>
                              <w:r>
                                <w:rPr>
                                  <w:rFonts w:hint="eastAsia"/>
                                </w:rPr>
                                <w:t>G 废气    N噪声    W 废水    S 固废</w:t>
                              </w:r>
                            </w:p>
                          </w:txbxContent>
                        </v:textbox>
                      </v:shape>
                      <w10:wrap type="topAndBottom"/>
                    </v:group>
                  </w:pict>
                </mc:Fallback>
              </mc:AlternateContent>
            </w:r>
            <w:r>
              <w:rPr>
                <w:rFonts w:ascii="Times New Roman" w:hAnsi="Times New Roman"/>
                <w:b/>
                <w:sz w:val="24"/>
              </w:rPr>
              <w:t>图</w:t>
            </w:r>
            <w:r>
              <w:rPr>
                <w:rFonts w:hint="eastAsia" w:ascii="Times New Roman" w:hAnsi="Times New Roman"/>
                <w:b/>
                <w:sz w:val="24"/>
              </w:rPr>
              <w:t>3</w:t>
            </w:r>
            <w:r>
              <w:rPr>
                <w:rFonts w:ascii="Times New Roman" w:hAnsi="Times New Roman"/>
                <w:b/>
                <w:sz w:val="24"/>
              </w:rPr>
              <w:t xml:space="preserve">    施工期工艺流程图</w:t>
            </w:r>
          </w:p>
          <w:p>
            <w:pPr>
              <w:widowControl/>
              <w:spacing w:line="360" w:lineRule="auto"/>
              <w:ind w:firstLine="560" w:firstLineChars="200"/>
              <w:jc w:val="left"/>
              <w:textAlignment w:val="baseline"/>
              <w:rPr>
                <w:rFonts w:ascii="Times New Roman" w:hAnsi="Times New Roman" w:eastAsiaTheme="minorEastAsia"/>
                <w:b/>
                <w:kern w:val="0"/>
                <w:sz w:val="28"/>
                <w:szCs w:val="28"/>
                <w:u w:color="000000"/>
              </w:rPr>
            </w:pPr>
            <w:r>
              <w:rPr>
                <w:rFonts w:hint="eastAsia" w:ascii="Times New Roman" w:hAnsi="Times New Roman" w:eastAsiaTheme="minorEastAsia"/>
                <w:b/>
                <w:kern w:val="0"/>
                <w:sz w:val="28"/>
                <w:szCs w:val="28"/>
                <w:u w:color="000000"/>
              </w:rPr>
              <w:t>工艺流程简述：</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施工期厂区内最大人员数为20人，均为当地居民，不设置临时施工营地。该项目施工期主要进行场地平整土方、土方开挖、建构筑建设和设备安装。本项目施工范围为加油站内永久用地。建设周期为10个月。</w:t>
            </w:r>
          </w:p>
          <w:p>
            <w:pPr>
              <w:widowControl/>
              <w:spacing w:line="360" w:lineRule="auto"/>
              <w:ind w:firstLine="560" w:firstLineChars="200"/>
              <w:jc w:val="left"/>
              <w:textAlignment w:val="baseline"/>
              <w:rPr>
                <w:rFonts w:ascii="Times New Roman" w:hAnsi="Times New Roman" w:eastAsiaTheme="minorEastAsia"/>
                <w:b/>
                <w:kern w:val="0"/>
                <w:sz w:val="28"/>
                <w:szCs w:val="28"/>
                <w:u w:color="000000"/>
              </w:rPr>
            </w:pPr>
            <w:r>
              <w:rPr>
                <w:rFonts w:ascii="Times New Roman" w:hAnsi="Times New Roman" w:eastAsiaTheme="minorEastAsia"/>
                <w:b/>
                <w:kern w:val="0"/>
                <w:sz w:val="28"/>
                <w:szCs w:val="28"/>
                <w:u w:color="000000"/>
              </w:rPr>
              <w:t>运营期工艺流程：</w:t>
            </w:r>
          </w:p>
          <w:p>
            <w:pPr>
              <w:pStyle w:val="25"/>
              <w:ind w:firstLine="210"/>
              <w:jc w:val="center"/>
            </w:pPr>
            <w:bookmarkStart w:id="19" w:name="_GoBack"/>
            <w:r>
              <w:object>
                <v:shape id="_x0000_i1025" o:spt="75" alt="" type="#_x0000_t75" style="height:153.35pt;width:445.1pt;" o:ole="t" filled="f" o:preferrelative="t" stroked="f" coordsize="21600,21600">
                  <v:path/>
                  <v:fill on="f" focussize="0,0"/>
                  <v:stroke on="f"/>
                  <v:imagedata r:id="rId13" o:title=""/>
                  <o:lock v:ext="edit" aspectratio="t"/>
                  <w10:wrap type="none"/>
                  <w10:anchorlock/>
                </v:shape>
                <o:OLEObject Type="Embed" ProgID="PBrush" ShapeID="_x0000_i1025" DrawAspect="Content" ObjectID="_1468075725" r:id="rId12">
                  <o:LockedField>false</o:LockedField>
                </o:OLEObject>
              </w:object>
            </w:r>
            <w:bookmarkEnd w:id="19"/>
          </w:p>
          <w:p>
            <w:pPr>
              <w:pStyle w:val="25"/>
              <w:ind w:firstLine="241"/>
              <w:jc w:val="center"/>
              <w:rPr>
                <w:b/>
                <w:sz w:val="24"/>
              </w:rPr>
            </w:pPr>
            <w:r>
              <w:rPr>
                <w:b/>
                <w:sz w:val="24"/>
              </w:rPr>
              <w:t>图</w:t>
            </w:r>
            <w:r>
              <w:rPr>
                <w:rFonts w:hint="eastAsia"/>
                <w:b/>
                <w:sz w:val="24"/>
              </w:rPr>
              <w:t>4</w:t>
            </w:r>
            <w:r>
              <w:rPr>
                <w:b/>
                <w:sz w:val="24"/>
              </w:rPr>
              <w:t xml:space="preserve">   运营期工艺流程</w:t>
            </w:r>
            <w:r>
              <w:rPr>
                <w:rFonts w:hint="eastAsia"/>
                <w:b/>
                <w:sz w:val="24"/>
              </w:rPr>
              <w:t>及产污节点</w:t>
            </w:r>
            <w:r>
              <w:rPr>
                <w:b/>
                <w:sz w:val="24"/>
              </w:rPr>
              <w:t>图</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运营期工艺简述：</w:t>
            </w:r>
          </w:p>
          <w:p>
            <w:pPr>
              <w:spacing w:line="360" w:lineRule="auto"/>
              <w:ind w:firstLine="560" w:firstLineChars="200"/>
              <w:rPr>
                <w:rFonts w:hAnsi="宋体"/>
                <w:sz w:val="28"/>
                <w:szCs w:val="28"/>
              </w:rPr>
            </w:pPr>
            <w:r>
              <w:rPr>
                <w:rFonts w:hint="eastAsia" w:hAnsi="宋体"/>
                <w:sz w:val="28"/>
                <w:szCs w:val="28"/>
              </w:rPr>
              <w:t xml:space="preserve">1 </w:t>
            </w:r>
            <w:r>
              <w:rPr>
                <w:rFonts w:hAnsi="宋体"/>
                <w:sz w:val="28"/>
                <w:szCs w:val="28"/>
              </w:rPr>
              <w:t>卸油</w:t>
            </w:r>
          </w:p>
          <w:p>
            <w:pPr>
              <w:spacing w:line="360" w:lineRule="auto"/>
              <w:ind w:firstLine="560" w:firstLineChars="200"/>
              <w:rPr>
                <w:sz w:val="28"/>
                <w:szCs w:val="28"/>
              </w:rPr>
            </w:pPr>
            <w:r>
              <w:rPr>
                <w:rFonts w:hAnsi="宋体"/>
                <w:sz w:val="28"/>
                <w:szCs w:val="28"/>
              </w:rPr>
              <w:t>油品由汽车油罐车运入加油站，停在卸油固定停车位，通过快速接头与卸油口的卸油接头连接，接好静电接地装置，油品靠重力自流通过卸油软管和地埋敷设的输油管，卸入地埋油罐中，油品卸完后，拆除连通软管，人工封闭好油罐进口和罐车卸油口，拆除静电装置发动油品罐车缓慢离开罐区。</w:t>
            </w:r>
          </w:p>
          <w:p>
            <w:pPr>
              <w:spacing w:line="360" w:lineRule="auto"/>
              <w:ind w:firstLine="560" w:firstLineChars="200"/>
              <w:rPr>
                <w:sz w:val="28"/>
                <w:szCs w:val="28"/>
              </w:rPr>
            </w:pPr>
            <w:r>
              <w:rPr>
                <w:rFonts w:hint="eastAsia" w:hAnsi="宋体"/>
                <w:sz w:val="28"/>
                <w:szCs w:val="28"/>
              </w:rPr>
              <w:t xml:space="preserve">2 </w:t>
            </w:r>
            <w:r>
              <w:rPr>
                <w:rFonts w:hAnsi="宋体"/>
                <w:sz w:val="28"/>
                <w:szCs w:val="28"/>
              </w:rPr>
              <w:t>储油</w:t>
            </w:r>
          </w:p>
          <w:p>
            <w:pPr>
              <w:spacing w:line="360" w:lineRule="auto"/>
              <w:ind w:firstLine="560" w:firstLineChars="200"/>
              <w:rPr>
                <w:sz w:val="28"/>
                <w:szCs w:val="28"/>
              </w:rPr>
            </w:pPr>
            <w:r>
              <w:rPr>
                <w:rFonts w:hAnsi="宋体"/>
                <w:sz w:val="28"/>
                <w:szCs w:val="28"/>
              </w:rPr>
              <w:t>对油罐车运来的油品在相应的油罐内进行储存，储存时间为</w:t>
            </w:r>
            <w:r>
              <w:rPr>
                <w:rFonts w:hint="eastAsia"/>
                <w:sz w:val="28"/>
                <w:szCs w:val="28"/>
              </w:rPr>
              <w:t>5</w:t>
            </w:r>
            <w:r>
              <w:rPr>
                <w:sz w:val="28"/>
                <w:szCs w:val="28"/>
              </w:rPr>
              <w:t>-</w:t>
            </w:r>
            <w:r>
              <w:rPr>
                <w:rFonts w:hint="eastAsia"/>
                <w:sz w:val="28"/>
                <w:szCs w:val="28"/>
              </w:rPr>
              <w:t>7</w:t>
            </w:r>
            <w:r>
              <w:rPr>
                <w:rFonts w:hAnsi="宋体"/>
                <w:sz w:val="28"/>
                <w:szCs w:val="28"/>
              </w:rPr>
              <w:t>天，从而保证加油站不会出现脱销现象。</w:t>
            </w:r>
          </w:p>
          <w:p>
            <w:pPr>
              <w:spacing w:line="360" w:lineRule="auto"/>
              <w:ind w:firstLine="560" w:firstLineChars="200"/>
              <w:rPr>
                <w:rFonts w:hAnsi="宋体"/>
                <w:sz w:val="28"/>
                <w:szCs w:val="28"/>
              </w:rPr>
            </w:pPr>
            <w:r>
              <w:rPr>
                <w:rFonts w:hint="eastAsia" w:hAnsi="宋体"/>
                <w:sz w:val="28"/>
                <w:szCs w:val="28"/>
              </w:rPr>
              <w:t xml:space="preserve">3 </w:t>
            </w:r>
            <w:r>
              <w:rPr>
                <w:rFonts w:hAnsi="宋体"/>
                <w:sz w:val="28"/>
                <w:szCs w:val="28"/>
              </w:rPr>
              <w:t>加油</w:t>
            </w:r>
          </w:p>
          <w:p>
            <w:pPr>
              <w:spacing w:line="360" w:lineRule="auto"/>
              <w:ind w:firstLine="560" w:firstLineChars="200"/>
              <w:rPr>
                <w:sz w:val="28"/>
                <w:szCs w:val="28"/>
              </w:rPr>
            </w:pPr>
            <w:r>
              <w:rPr>
                <w:rFonts w:hAnsi="宋体"/>
                <w:sz w:val="28"/>
                <w:szCs w:val="28"/>
              </w:rPr>
              <w:t>加油采用正压加油，通过潜油泵把油品从储油罐压出，经过加油机的油气分离器、计量器，再经加油枪加入汽车油箱中。</w:t>
            </w:r>
          </w:p>
          <w:p>
            <w:pPr>
              <w:pStyle w:val="150"/>
              <w:spacing w:before="0" w:beforeLines="0" w:after="0" w:afterLines="0" w:line="360" w:lineRule="auto"/>
              <w:ind w:firstLine="560"/>
              <w:rPr>
                <w:color w:val="auto"/>
                <w:sz w:val="28"/>
                <w:szCs w:val="28"/>
              </w:rPr>
            </w:pPr>
            <w:r>
              <w:rPr>
                <w:rFonts w:hint="eastAsia"/>
                <w:color w:val="auto"/>
                <w:sz w:val="28"/>
                <w:szCs w:val="28"/>
              </w:rPr>
              <w:t xml:space="preserve">4 </w:t>
            </w:r>
            <w:r>
              <w:rPr>
                <w:color w:val="auto"/>
                <w:sz w:val="28"/>
                <w:szCs w:val="28"/>
              </w:rPr>
              <w:t>油气回收系统工艺流程</w:t>
            </w:r>
          </w:p>
          <w:p>
            <w:pPr>
              <w:pStyle w:val="150"/>
              <w:spacing w:before="0" w:beforeLines="0" w:after="0" w:afterLines="0" w:line="360" w:lineRule="auto"/>
              <w:ind w:firstLine="560"/>
              <w:rPr>
                <w:color w:val="auto"/>
                <w:sz w:val="28"/>
                <w:szCs w:val="28"/>
              </w:rPr>
            </w:pPr>
            <w:r>
              <w:rPr>
                <w:rFonts w:hint="eastAsia"/>
                <w:color w:val="auto"/>
                <w:sz w:val="28"/>
                <w:szCs w:val="28"/>
              </w:rPr>
              <w:t>本项目采用二</w:t>
            </w:r>
            <w:r>
              <w:rPr>
                <w:color w:val="auto"/>
                <w:sz w:val="28"/>
                <w:szCs w:val="28"/>
              </w:rPr>
              <w:t>级油气回收系统，由卸油油气回收系统（即一次油气回收</w:t>
            </w:r>
            <w:r>
              <w:rPr>
                <w:rFonts w:hint="eastAsia"/>
                <w:color w:val="auto"/>
                <w:sz w:val="28"/>
                <w:szCs w:val="28"/>
              </w:rPr>
              <w:t>系统</w:t>
            </w:r>
            <w:r>
              <w:rPr>
                <w:color w:val="auto"/>
                <w:sz w:val="28"/>
                <w:szCs w:val="28"/>
              </w:rPr>
              <w:t>）</w:t>
            </w:r>
            <w:r>
              <w:rPr>
                <w:rFonts w:hint="eastAsia"/>
                <w:color w:val="auto"/>
                <w:sz w:val="28"/>
                <w:szCs w:val="28"/>
              </w:rPr>
              <w:t>、</w:t>
            </w:r>
            <w:r>
              <w:rPr>
                <w:color w:val="auto"/>
                <w:sz w:val="28"/>
                <w:szCs w:val="28"/>
              </w:rPr>
              <w:t>加油油气回收系统（即二次油气回收</w:t>
            </w:r>
            <w:r>
              <w:rPr>
                <w:rFonts w:hint="eastAsia"/>
                <w:color w:val="auto"/>
                <w:sz w:val="28"/>
                <w:szCs w:val="28"/>
              </w:rPr>
              <w:t>系统</w:t>
            </w:r>
            <w:r>
              <w:rPr>
                <w:color w:val="auto"/>
                <w:sz w:val="28"/>
                <w:szCs w:val="28"/>
              </w:rPr>
              <w:t>）</w:t>
            </w:r>
            <w:r>
              <w:rPr>
                <w:rFonts w:hint="eastAsia"/>
                <w:color w:val="auto"/>
                <w:sz w:val="28"/>
                <w:szCs w:val="28"/>
              </w:rPr>
              <w:t>）</w:t>
            </w:r>
            <w:r>
              <w:rPr>
                <w:color w:val="auto"/>
                <w:sz w:val="28"/>
                <w:szCs w:val="28"/>
              </w:rPr>
              <w:t>组成，油气回收只针对汽油。该系统的作用是通过相关油气回收工艺，将加油站在卸油、储油和加油过程中产生的油气进行密闭收集、储存和回收处理，抑制油气无控逸散挥发。</w:t>
            </w:r>
          </w:p>
          <w:p>
            <w:pPr>
              <w:pStyle w:val="150"/>
              <w:spacing w:before="0" w:beforeLines="0" w:after="0" w:afterLines="0" w:line="360" w:lineRule="auto"/>
              <w:ind w:firstLine="560"/>
              <w:rPr>
                <w:color w:val="auto"/>
                <w:sz w:val="28"/>
                <w:szCs w:val="28"/>
              </w:rPr>
            </w:pPr>
            <w:r>
              <w:rPr>
                <w:rFonts w:hint="eastAsia"/>
                <w:color w:val="auto"/>
                <w:sz w:val="28"/>
                <w:szCs w:val="28"/>
              </w:rPr>
              <w:t>（1）</w:t>
            </w:r>
            <w:r>
              <w:rPr>
                <w:color w:val="auto"/>
                <w:sz w:val="28"/>
                <w:szCs w:val="28"/>
              </w:rPr>
              <w:t>一次油气回收阶段（即卸油油气回收系统）</w:t>
            </w:r>
          </w:p>
          <w:p>
            <w:pPr>
              <w:pStyle w:val="150"/>
              <w:spacing w:before="0" w:beforeLines="0" w:after="0" w:afterLines="0" w:line="360" w:lineRule="auto"/>
              <w:ind w:firstLine="560"/>
              <w:rPr>
                <w:color w:val="auto"/>
                <w:sz w:val="28"/>
                <w:szCs w:val="28"/>
              </w:rPr>
            </w:pPr>
            <w:r>
              <w:rPr>
                <w:color w:val="auto"/>
                <w:sz w:val="28"/>
                <w:szCs w:val="28"/>
              </w:rPr>
              <w:t>一次油气回收阶段是通过压力平衡原理，将在卸油过程中挥发的油气收集到油罐车内，运回储油库进行油气回收处理的过程。</w:t>
            </w:r>
          </w:p>
          <w:p>
            <w:pPr>
              <w:pStyle w:val="150"/>
              <w:spacing w:before="0" w:beforeLines="0" w:after="0" w:afterLines="0" w:line="360" w:lineRule="auto"/>
              <w:ind w:firstLine="560"/>
              <w:rPr>
                <w:color w:val="auto"/>
                <w:sz w:val="28"/>
                <w:szCs w:val="28"/>
              </w:rPr>
            </w:pPr>
            <w:r>
              <w:rPr>
                <w:color w:val="auto"/>
                <w:sz w:val="28"/>
                <w:szCs w:val="28"/>
              </w:rPr>
              <w:t>该阶段油气回收实现过程：在油罐车卸油过程中，储油车内压力减小，地下储罐内压力增加，地下储罐与油罐车内的压力差，使卸油程中挥发的油气通过管线回到油罐车内，达到油气收集的目的。待卸油结束，地下储罐与油罐车内压力达到平衡状态，一次油气回收阶段结束。</w:t>
            </w:r>
          </w:p>
          <w:p>
            <w:pPr>
              <w:pStyle w:val="150"/>
              <w:spacing w:before="0" w:beforeLines="0" w:after="0" w:afterLines="0" w:line="360" w:lineRule="auto"/>
              <w:ind w:firstLine="560"/>
              <w:rPr>
                <w:color w:val="auto"/>
                <w:sz w:val="28"/>
                <w:szCs w:val="28"/>
              </w:rPr>
            </w:pPr>
          </w:p>
          <w:p>
            <w:pPr>
              <w:pStyle w:val="150"/>
              <w:spacing w:before="0" w:beforeLines="0" w:after="0" w:afterLines="0" w:line="360" w:lineRule="auto"/>
              <w:ind w:firstLine="0" w:firstLineChars="0"/>
              <w:rPr>
                <w:color w:val="auto"/>
                <w:sz w:val="28"/>
                <w:szCs w:val="28"/>
              </w:rPr>
            </w:pPr>
          </w:p>
          <w:p>
            <w:pPr>
              <w:snapToGrid w:val="0"/>
              <w:jc w:val="center"/>
            </w:pPr>
            <w:r>
              <w:drawing>
                <wp:inline distT="0" distB="0" distL="0" distR="0">
                  <wp:extent cx="4678680" cy="1856105"/>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a:srcRect/>
                          <a:stretch>
                            <a:fillRect/>
                          </a:stretch>
                        </pic:blipFill>
                        <pic:spPr>
                          <a:xfrm>
                            <a:off x="0" y="0"/>
                            <a:ext cx="4679012" cy="1856340"/>
                          </a:xfrm>
                          <a:prstGeom prst="rect">
                            <a:avLst/>
                          </a:prstGeom>
                          <a:noFill/>
                          <a:ln>
                            <a:noFill/>
                          </a:ln>
                        </pic:spPr>
                      </pic:pic>
                    </a:graphicData>
                  </a:graphic>
                </wp:inline>
              </w:drawing>
            </w:r>
          </w:p>
          <w:p>
            <w:pPr>
              <w:spacing w:line="360" w:lineRule="auto"/>
              <w:jc w:val="center"/>
              <w:rPr>
                <w:rFonts w:ascii="Times New Roman" w:hAnsi="Times New Roman" w:eastAsiaTheme="minorEastAsia"/>
                <w:b/>
                <w:sz w:val="24"/>
                <w:szCs w:val="24"/>
              </w:rPr>
            </w:pPr>
            <w:r>
              <w:rPr>
                <w:rFonts w:ascii="Times New Roman" w:hAnsi="Times New Roman" w:eastAsiaTheme="minorEastAsia"/>
                <w:b/>
                <w:sz w:val="24"/>
                <w:szCs w:val="24"/>
              </w:rPr>
              <w:t>图</w:t>
            </w:r>
            <w:r>
              <w:rPr>
                <w:rFonts w:hint="eastAsia" w:ascii="Times New Roman" w:hAnsi="Times New Roman" w:eastAsiaTheme="minorEastAsia"/>
                <w:b/>
                <w:sz w:val="24"/>
                <w:szCs w:val="24"/>
              </w:rPr>
              <w:t xml:space="preserve">5    </w:t>
            </w:r>
            <w:r>
              <w:rPr>
                <w:rFonts w:ascii="Times New Roman" w:hAnsi="Times New Roman" w:eastAsiaTheme="minorEastAsia"/>
                <w:b/>
                <w:sz w:val="24"/>
                <w:szCs w:val="24"/>
              </w:rPr>
              <w:t xml:space="preserve">  一次油气回收系统</w:t>
            </w:r>
            <w:r>
              <w:rPr>
                <w:rFonts w:hint="eastAsia" w:ascii="Times New Roman" w:hAnsi="Times New Roman" w:eastAsiaTheme="minorEastAsia"/>
                <w:b/>
                <w:sz w:val="24"/>
                <w:szCs w:val="24"/>
              </w:rPr>
              <w:t>工艺流程图</w:t>
            </w:r>
          </w:p>
          <w:p>
            <w:pPr>
              <w:pStyle w:val="150"/>
              <w:spacing w:before="0" w:beforeLines="0" w:after="0" w:afterLines="0" w:line="360" w:lineRule="auto"/>
              <w:ind w:firstLine="560"/>
              <w:rPr>
                <w:color w:val="auto"/>
                <w:sz w:val="28"/>
                <w:szCs w:val="28"/>
              </w:rPr>
            </w:pPr>
            <w:r>
              <w:rPr>
                <w:rFonts w:hint="eastAsia"/>
                <w:color w:val="auto"/>
                <w:sz w:val="28"/>
                <w:szCs w:val="28"/>
              </w:rPr>
              <w:t>（2）</w:t>
            </w:r>
            <w:r>
              <w:rPr>
                <w:color w:val="auto"/>
                <w:sz w:val="28"/>
                <w:szCs w:val="28"/>
              </w:rPr>
              <w:t>二次油气回收阶段（即加油油气回收系统）</w:t>
            </w:r>
          </w:p>
          <w:p>
            <w:pPr>
              <w:pStyle w:val="150"/>
              <w:spacing w:before="0" w:beforeLines="0" w:after="0" w:afterLines="0" w:line="360" w:lineRule="auto"/>
              <w:ind w:firstLine="560"/>
              <w:rPr>
                <w:color w:val="auto"/>
                <w:sz w:val="28"/>
                <w:szCs w:val="28"/>
              </w:rPr>
            </w:pPr>
            <w:r>
              <w:rPr>
                <w:color w:val="auto"/>
                <w:sz w:val="28"/>
                <w:szCs w:val="28"/>
              </w:rPr>
              <w:t>二次油气回收阶段是采用真空辅助式油气回收设备，将在加油过程中挥发的油气通过地下油气回收管线收集到地下储罐内的油气回收过程。该阶段油气回收实现过程：在加油站为汽车加油过程中，通过真空泵产生一定真空度，经过加油枪、油气回收管、真空泵等油气回收设备，按照气液比控制在1.0至1.2之间的要求，将加油过程中挥发的油气回收到油罐内。</w:t>
            </w:r>
          </w:p>
          <w:p>
            <w:pPr>
              <w:snapToGrid w:val="0"/>
              <w:jc w:val="center"/>
            </w:pPr>
            <w:r>
              <w:drawing>
                <wp:inline distT="0" distB="0" distL="0" distR="0">
                  <wp:extent cx="4766310" cy="22796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srcRect/>
                          <a:stretch>
                            <a:fillRect/>
                          </a:stretch>
                        </pic:blipFill>
                        <pic:spPr>
                          <a:xfrm>
                            <a:off x="0" y="0"/>
                            <a:ext cx="4766896" cy="2280098"/>
                          </a:xfrm>
                          <a:prstGeom prst="rect">
                            <a:avLst/>
                          </a:prstGeom>
                          <a:noFill/>
                          <a:ln>
                            <a:noFill/>
                          </a:ln>
                        </pic:spPr>
                      </pic:pic>
                    </a:graphicData>
                  </a:graphic>
                </wp:inline>
              </w:drawing>
            </w:r>
          </w:p>
          <w:p>
            <w:pPr>
              <w:spacing w:line="360" w:lineRule="auto"/>
              <w:jc w:val="center"/>
              <w:rPr>
                <w:rFonts w:ascii="Times New Roman" w:hAnsi="Times New Roman" w:eastAsiaTheme="minorEastAsia"/>
                <w:b/>
                <w:sz w:val="24"/>
                <w:szCs w:val="24"/>
              </w:rPr>
            </w:pPr>
            <w:r>
              <w:rPr>
                <w:rFonts w:ascii="Times New Roman" w:hAnsi="Times New Roman" w:eastAsiaTheme="minorEastAsia"/>
                <w:b/>
                <w:sz w:val="24"/>
                <w:szCs w:val="24"/>
              </w:rPr>
              <w:t>图</w:t>
            </w:r>
            <w:r>
              <w:rPr>
                <w:rFonts w:hint="eastAsia" w:ascii="Times New Roman" w:hAnsi="Times New Roman" w:eastAsiaTheme="minorEastAsia"/>
                <w:b/>
                <w:sz w:val="24"/>
                <w:szCs w:val="24"/>
              </w:rPr>
              <w:t xml:space="preserve">6   </w:t>
            </w:r>
            <w:r>
              <w:rPr>
                <w:rFonts w:ascii="Times New Roman" w:hAnsi="Times New Roman" w:eastAsiaTheme="minorEastAsia"/>
                <w:b/>
                <w:sz w:val="24"/>
                <w:szCs w:val="24"/>
              </w:rPr>
              <w:t xml:space="preserve"> 二次油气回收系统</w:t>
            </w:r>
            <w:r>
              <w:rPr>
                <w:rFonts w:hint="eastAsia" w:ascii="Times New Roman" w:hAnsi="Times New Roman" w:eastAsiaTheme="minorEastAsia"/>
                <w:b/>
                <w:sz w:val="24"/>
                <w:szCs w:val="24"/>
              </w:rPr>
              <w:t>工艺流程图</w:t>
            </w:r>
          </w:p>
          <w:p>
            <w:pPr>
              <w:spacing w:line="360" w:lineRule="auto"/>
              <w:ind w:firstLine="560" w:firstLineChars="200"/>
              <w:rPr>
                <w:rFonts w:ascii="Times New Roman" w:hAnsi="Times New Roman" w:eastAsiaTheme="minorEastAsia"/>
                <w:b/>
                <w:sz w:val="28"/>
                <w:szCs w:val="28"/>
              </w:rPr>
            </w:pPr>
            <w:r>
              <w:rPr>
                <w:rFonts w:ascii="Times New Roman" w:hAnsi="Times New Roman" w:eastAsiaTheme="minorEastAsia"/>
                <w:b/>
                <w:sz w:val="28"/>
                <w:szCs w:val="28"/>
              </w:rPr>
              <w:t>主要污染工序：</w:t>
            </w:r>
          </w:p>
          <w:p>
            <w:pPr>
              <w:widowControl/>
              <w:spacing w:line="360" w:lineRule="auto"/>
              <w:ind w:firstLine="560" w:firstLineChars="200"/>
              <w:jc w:val="left"/>
              <w:textAlignment w:val="baseline"/>
              <w:rPr>
                <w:rFonts w:ascii="Times New Roman" w:hAnsi="Times New Roman" w:eastAsiaTheme="minorEastAsia"/>
                <w:b/>
                <w:kern w:val="0"/>
                <w:sz w:val="28"/>
                <w:szCs w:val="28"/>
                <w:u w:color="000000"/>
              </w:rPr>
            </w:pPr>
            <w:r>
              <w:rPr>
                <w:rFonts w:ascii="Times New Roman" w:hAnsi="Times New Roman" w:eastAsiaTheme="minorEastAsia"/>
                <w:b/>
                <w:kern w:val="0"/>
                <w:sz w:val="28"/>
                <w:szCs w:val="28"/>
                <w:u w:color="000000"/>
              </w:rPr>
              <w:t>一、施工期污染物源强分析：</w:t>
            </w:r>
          </w:p>
          <w:p>
            <w:pPr>
              <w:snapToGrid w:val="0"/>
              <w:spacing w:line="360" w:lineRule="auto"/>
              <w:ind w:firstLine="560" w:firstLineChars="200"/>
              <w:jc w:val="left"/>
              <w:rPr>
                <w:rFonts w:ascii="Times New Roman" w:hAnsi="Times New Roman" w:eastAsiaTheme="minorEastAsia"/>
                <w:sz w:val="28"/>
                <w:szCs w:val="28"/>
              </w:rPr>
            </w:pPr>
            <w:r>
              <w:rPr>
                <w:rFonts w:ascii="Times New Roman" w:hAnsi="Times New Roman" w:eastAsiaTheme="minorEastAsia"/>
                <w:sz w:val="28"/>
                <w:szCs w:val="28"/>
              </w:rPr>
              <w:t>1 废气</w:t>
            </w:r>
          </w:p>
          <w:p>
            <w:pPr>
              <w:snapToGrid w:val="0"/>
              <w:spacing w:line="360" w:lineRule="auto"/>
              <w:ind w:firstLine="560" w:firstLineChars="200"/>
              <w:jc w:val="left"/>
              <w:rPr>
                <w:rFonts w:ascii="Times New Roman" w:hAnsi="Times New Roman" w:eastAsiaTheme="minorEastAsia"/>
                <w:sz w:val="28"/>
                <w:szCs w:val="28"/>
              </w:rPr>
            </w:pPr>
            <w:r>
              <w:rPr>
                <w:rFonts w:ascii="Times New Roman" w:hAnsi="Times New Roman" w:eastAsiaTheme="minorEastAsia"/>
                <w:sz w:val="28"/>
                <w:szCs w:val="28"/>
              </w:rPr>
              <w:t>施工期的扬尘污染主要来源于开挖、回填产生的扬尘，原料堆存、运输、装卸过程产生的扬尘。</w:t>
            </w:r>
          </w:p>
          <w:p>
            <w:pPr>
              <w:snapToGrid w:val="0"/>
              <w:spacing w:line="360" w:lineRule="auto"/>
              <w:ind w:firstLine="560" w:firstLineChars="200"/>
              <w:jc w:val="left"/>
              <w:rPr>
                <w:rFonts w:ascii="Times New Roman" w:hAnsi="Times New Roman" w:eastAsiaTheme="minorEastAsia"/>
                <w:sz w:val="28"/>
                <w:szCs w:val="28"/>
              </w:rPr>
            </w:pPr>
            <w:r>
              <w:rPr>
                <w:rFonts w:ascii="Times New Roman" w:hAnsi="Times New Roman" w:eastAsiaTheme="minorEastAsia"/>
                <w:sz w:val="28"/>
                <w:szCs w:val="28"/>
              </w:rPr>
              <w:t>在同样路面清洁程度条件下，车速越快，扬尘量越大；而在同样车速情况下，路面越脏，则扬尘量越大。因此，限速行驶及保持路面的清洁是减少汽车扬尘的有效手段。一般情况下，施工工地在自然风作用下产生的扬尘所影响的范围是100m以内。如果在施工期间对车辆行驶的路面实施洒水抑尘，每天洒水4～5次，可使扬尘减少70%左右。</w:t>
            </w:r>
          </w:p>
          <w:p>
            <w:pPr>
              <w:snapToGrid w:val="0"/>
              <w:spacing w:line="360" w:lineRule="auto"/>
              <w:ind w:firstLine="560" w:firstLineChars="200"/>
              <w:jc w:val="left"/>
              <w:rPr>
                <w:rFonts w:ascii="Times New Roman" w:hAnsi="Times New Roman" w:eastAsiaTheme="minorEastAsia"/>
                <w:sz w:val="28"/>
                <w:szCs w:val="28"/>
              </w:rPr>
            </w:pPr>
            <w:r>
              <w:rPr>
                <w:rFonts w:ascii="Times New Roman" w:hAnsi="Times New Roman" w:eastAsiaTheme="minorEastAsia"/>
                <w:sz w:val="28"/>
                <w:szCs w:val="28"/>
              </w:rPr>
              <w:t>2 废水</w:t>
            </w:r>
          </w:p>
          <w:p>
            <w:pPr>
              <w:snapToGrid w:val="0"/>
              <w:spacing w:line="360" w:lineRule="auto"/>
              <w:ind w:firstLine="560" w:firstLineChars="200"/>
              <w:jc w:val="left"/>
              <w:rPr>
                <w:rFonts w:ascii="Times New Roman" w:hAnsi="Times New Roman" w:eastAsiaTheme="minorEastAsia"/>
                <w:sz w:val="28"/>
                <w:szCs w:val="28"/>
              </w:rPr>
            </w:pPr>
            <w:r>
              <w:rPr>
                <w:rFonts w:ascii="Times New Roman" w:hAnsi="Times New Roman" w:eastAsiaTheme="minorEastAsia"/>
                <w:sz w:val="28"/>
                <w:szCs w:val="28"/>
              </w:rPr>
              <w:t>本项目施工期废水主要为施工人员生活污水和施工废水。场地内建设临时沉淀池，施工废水经沉淀池处理后回用，生活污水排入</w:t>
            </w:r>
            <w:r>
              <w:rPr>
                <w:rFonts w:hint="eastAsia" w:ascii="Times New Roman" w:hAnsi="Times New Roman" w:eastAsiaTheme="minorEastAsia"/>
                <w:sz w:val="28"/>
                <w:szCs w:val="28"/>
              </w:rPr>
              <w:t>临时防渗旱厕</w:t>
            </w:r>
            <w:r>
              <w:rPr>
                <w:rFonts w:ascii="Times New Roman" w:hAnsi="Times New Roman" w:eastAsiaTheme="minorEastAsia"/>
                <w:sz w:val="28"/>
                <w:szCs w:val="28"/>
              </w:rPr>
              <w:t>，不会对地表水环境产生影响</w:t>
            </w:r>
            <w:r>
              <w:rPr>
                <w:rFonts w:hint="eastAsia" w:ascii="Times New Roman" w:hAnsi="Times New Roman" w:eastAsiaTheme="minorEastAsia"/>
                <w:sz w:val="28"/>
                <w:szCs w:val="28"/>
              </w:rPr>
              <w:t>，施工结束后由建设方清运</w:t>
            </w:r>
            <w:r>
              <w:rPr>
                <w:rFonts w:ascii="Times New Roman" w:hAnsi="Times New Roman" w:eastAsiaTheme="minorEastAsia"/>
                <w:sz w:val="28"/>
                <w:szCs w:val="28"/>
              </w:rPr>
              <w:t>。施工期间本项目厂区内最大人员数约20人，根据类比，施工人员生活用水量以40L/人·天计，日用水量为0.8m</w:t>
            </w:r>
            <w:r>
              <w:rPr>
                <w:rFonts w:ascii="Times New Roman" w:hAnsi="Times New Roman" w:eastAsiaTheme="minorEastAsia"/>
                <w:sz w:val="28"/>
                <w:szCs w:val="28"/>
                <w:vertAlign w:val="superscript"/>
              </w:rPr>
              <w:t>3</w:t>
            </w:r>
            <w:r>
              <w:rPr>
                <w:rFonts w:ascii="Times New Roman" w:hAnsi="Times New Roman" w:eastAsiaTheme="minorEastAsia"/>
                <w:sz w:val="28"/>
                <w:szCs w:val="28"/>
              </w:rPr>
              <w:t>/d，生活污水排放量以用水量的80%计，则排水量为0.64m</w:t>
            </w:r>
            <w:r>
              <w:rPr>
                <w:rFonts w:ascii="Times New Roman" w:hAnsi="Times New Roman" w:eastAsiaTheme="minorEastAsia"/>
                <w:sz w:val="28"/>
                <w:szCs w:val="28"/>
                <w:vertAlign w:val="superscript"/>
              </w:rPr>
              <w:t>3</w:t>
            </w:r>
            <w:r>
              <w:rPr>
                <w:rFonts w:ascii="Times New Roman" w:hAnsi="Times New Roman" w:eastAsiaTheme="minorEastAsia"/>
                <w:sz w:val="28"/>
                <w:szCs w:val="28"/>
              </w:rPr>
              <w:t>/d。</w:t>
            </w:r>
          </w:p>
          <w:p>
            <w:pPr>
              <w:pStyle w:val="11"/>
              <w:spacing w:after="0" w:line="360" w:lineRule="auto"/>
              <w:ind w:left="0" w:leftChars="0" w:firstLine="560" w:firstLineChars="200"/>
              <w:jc w:val="left"/>
              <w:rPr>
                <w:rFonts w:ascii="Times New Roman" w:hAnsi="Times New Roman" w:eastAsiaTheme="minorEastAsia"/>
                <w:sz w:val="28"/>
                <w:szCs w:val="28"/>
              </w:rPr>
            </w:pPr>
            <w:r>
              <w:rPr>
                <w:rFonts w:ascii="Times New Roman" w:hAnsi="Times New Roman" w:eastAsiaTheme="minorEastAsia"/>
                <w:sz w:val="28"/>
                <w:szCs w:val="28"/>
              </w:rPr>
              <w:t>3 噪声</w:t>
            </w:r>
          </w:p>
          <w:p>
            <w:pPr>
              <w:snapToGrid w:val="0"/>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施工期间噪声影响主要来自施工机械设备噪声，噪声源强在75-100dB(A)之间，因此，本评价要求施工单位在施工期间严格执行《建筑施工场界环境噪声排放标准》（GB12523-2011）的有关规定，各种高噪声设备禁止夜间作业，尽量减小由于施工而给周边环境造成的影响。</w:t>
            </w:r>
          </w:p>
          <w:p>
            <w:pPr>
              <w:snapToGrid w:val="0"/>
              <w:spacing w:line="360" w:lineRule="auto"/>
              <w:ind w:firstLine="560" w:firstLineChars="200"/>
              <w:jc w:val="left"/>
              <w:rPr>
                <w:rFonts w:ascii="Times New Roman" w:hAnsi="Times New Roman" w:eastAsiaTheme="minorEastAsia"/>
                <w:sz w:val="28"/>
                <w:szCs w:val="28"/>
              </w:rPr>
            </w:pPr>
            <w:r>
              <w:rPr>
                <w:rFonts w:ascii="Times New Roman" w:hAnsi="Times New Roman" w:eastAsiaTheme="minorEastAsia"/>
                <w:sz w:val="28"/>
                <w:szCs w:val="28"/>
              </w:rPr>
              <w:t>4 固废</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施工期间产生的固废主要是生活垃圾及建筑垃圾，其中生活垃圾产生量约为10 kg/d，集中收集后</w:t>
            </w:r>
            <w:r>
              <w:rPr>
                <w:rFonts w:hint="eastAsia" w:ascii="Times New Roman" w:hAnsi="Times New Roman" w:eastAsiaTheme="minorEastAsia"/>
                <w:sz w:val="28"/>
                <w:szCs w:val="28"/>
              </w:rPr>
              <w:t>送至环卫部门指定的消纳地点</w:t>
            </w:r>
            <w:r>
              <w:rPr>
                <w:rFonts w:ascii="Times New Roman" w:hAnsi="Times New Roman" w:eastAsiaTheme="minorEastAsia"/>
                <w:sz w:val="28"/>
                <w:szCs w:val="28"/>
              </w:rPr>
              <w:t>，建筑垃圾需及时清运至</w:t>
            </w:r>
            <w:r>
              <w:rPr>
                <w:rFonts w:hint="eastAsia" w:ascii="Times New Roman" w:hAnsi="Times New Roman" w:eastAsiaTheme="minorEastAsia"/>
                <w:sz w:val="28"/>
                <w:szCs w:val="28"/>
              </w:rPr>
              <w:t>有关政府部门</w:t>
            </w:r>
            <w:r>
              <w:rPr>
                <w:rFonts w:ascii="Times New Roman" w:hAnsi="Times New Roman" w:eastAsiaTheme="minorEastAsia"/>
                <w:sz w:val="28"/>
                <w:szCs w:val="28"/>
              </w:rPr>
              <w:t>指定的</w:t>
            </w:r>
            <w:r>
              <w:rPr>
                <w:rFonts w:hint="eastAsia" w:ascii="Times New Roman" w:hAnsi="Times New Roman" w:eastAsiaTheme="minorEastAsia"/>
                <w:sz w:val="28"/>
                <w:szCs w:val="28"/>
              </w:rPr>
              <w:t>地点</w:t>
            </w:r>
            <w:r>
              <w:rPr>
                <w:rFonts w:ascii="Times New Roman" w:hAnsi="Times New Roman" w:eastAsiaTheme="minorEastAsia"/>
                <w:sz w:val="28"/>
                <w:szCs w:val="28"/>
              </w:rPr>
              <w:t>，做到合理处置。</w:t>
            </w:r>
          </w:p>
          <w:p>
            <w:pPr>
              <w:widowControl/>
              <w:spacing w:line="360" w:lineRule="auto"/>
              <w:ind w:firstLine="560" w:firstLineChars="200"/>
              <w:jc w:val="left"/>
              <w:textAlignment w:val="baseline"/>
              <w:rPr>
                <w:rFonts w:ascii="Times New Roman" w:hAnsi="Times New Roman" w:eastAsiaTheme="minorEastAsia"/>
                <w:b/>
                <w:kern w:val="0"/>
                <w:sz w:val="28"/>
                <w:szCs w:val="28"/>
                <w:u w:color="000000"/>
              </w:rPr>
            </w:pPr>
            <w:r>
              <w:rPr>
                <w:rFonts w:hint="eastAsia" w:ascii="Times New Roman" w:hAnsi="Times New Roman" w:eastAsiaTheme="minorEastAsia"/>
                <w:b/>
                <w:kern w:val="0"/>
                <w:sz w:val="28"/>
                <w:szCs w:val="28"/>
                <w:u w:color="000000"/>
              </w:rPr>
              <w:t>二</w:t>
            </w:r>
            <w:r>
              <w:rPr>
                <w:rFonts w:ascii="Times New Roman" w:hAnsi="Times New Roman" w:eastAsiaTheme="minorEastAsia"/>
                <w:b/>
                <w:kern w:val="0"/>
                <w:sz w:val="28"/>
                <w:szCs w:val="28"/>
                <w:u w:color="000000"/>
              </w:rPr>
              <w:t>、</w:t>
            </w:r>
            <w:r>
              <w:rPr>
                <w:rFonts w:hint="eastAsia" w:ascii="Times New Roman" w:hAnsi="Times New Roman" w:eastAsiaTheme="minorEastAsia"/>
                <w:b/>
                <w:kern w:val="0"/>
                <w:sz w:val="28"/>
                <w:szCs w:val="28"/>
                <w:u w:color="000000"/>
              </w:rPr>
              <w:t>运营期</w:t>
            </w:r>
            <w:r>
              <w:rPr>
                <w:rFonts w:ascii="Times New Roman" w:hAnsi="Times New Roman" w:eastAsiaTheme="minorEastAsia"/>
                <w:b/>
                <w:kern w:val="0"/>
                <w:sz w:val="28"/>
                <w:szCs w:val="28"/>
                <w:u w:color="000000"/>
              </w:rPr>
              <w:t>污染物源强分析：</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 xml:space="preserve">1 </w:t>
            </w:r>
            <w:r>
              <w:rPr>
                <w:rFonts w:ascii="Times New Roman" w:hAnsi="Times New Roman" w:eastAsiaTheme="minorEastAsia"/>
                <w:sz w:val="28"/>
                <w:szCs w:val="28"/>
              </w:rPr>
              <w:t>废水</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本项目无生产废水，项目的废水主要为员工的生活废水。</w:t>
            </w:r>
          </w:p>
          <w:p>
            <w:pPr>
              <w:spacing w:line="360" w:lineRule="auto"/>
              <w:ind w:firstLine="560" w:firstLineChars="200"/>
              <w:rPr>
                <w:rFonts w:ascii="Times New Roman" w:hAnsi="Times New Roman"/>
                <w:sz w:val="28"/>
                <w:szCs w:val="28"/>
              </w:rPr>
            </w:pPr>
            <w:r>
              <w:rPr>
                <w:rFonts w:ascii="Times New Roman" w:hAnsi="Times New Roman" w:eastAsiaTheme="minorEastAsia"/>
                <w:sz w:val="28"/>
                <w:szCs w:val="28"/>
              </w:rPr>
              <w:t>拟建项目废水主要为职工生活污水，项目营运期定员</w:t>
            </w:r>
            <w:r>
              <w:rPr>
                <w:rFonts w:hint="eastAsia" w:ascii="Times New Roman" w:hAnsi="Times New Roman" w:eastAsiaTheme="minorEastAsia"/>
                <w:sz w:val="28"/>
                <w:szCs w:val="28"/>
              </w:rPr>
              <w:t>8</w:t>
            </w:r>
            <w:r>
              <w:rPr>
                <w:rFonts w:ascii="Times New Roman" w:hAnsi="Times New Roman" w:eastAsiaTheme="minorEastAsia"/>
                <w:sz w:val="28"/>
                <w:szCs w:val="28"/>
              </w:rPr>
              <w:t>人，实行</w:t>
            </w:r>
            <w:r>
              <w:rPr>
                <w:rFonts w:hint="eastAsia" w:ascii="Times New Roman" w:hAnsi="Times New Roman" w:eastAsiaTheme="minorEastAsia"/>
                <w:sz w:val="28"/>
                <w:szCs w:val="28"/>
              </w:rPr>
              <w:t>3</w:t>
            </w:r>
            <w:r>
              <w:rPr>
                <w:rFonts w:ascii="Times New Roman" w:hAnsi="Times New Roman" w:eastAsiaTheme="minorEastAsia"/>
                <w:sz w:val="28"/>
                <w:szCs w:val="28"/>
              </w:rPr>
              <w:t>班制，年工作365天。</w:t>
            </w:r>
            <w:r>
              <w:rPr>
                <w:rFonts w:ascii="Times New Roman" w:hAnsi="Times New Roman" w:eastAsiaTheme="minorEastAsia"/>
                <w:spacing w:val="-2"/>
                <w:sz w:val="28"/>
                <w:szCs w:val="28"/>
              </w:rPr>
              <w:t>参考黑龙江省地方标准《用水定额》（DB23/T 727</w:t>
            </w:r>
            <w:r>
              <w:rPr>
                <w:rFonts w:hint="eastAsia" w:ascii="Times New Roman" w:hAnsi="Times New Roman" w:eastAsiaTheme="minorEastAsia"/>
                <w:spacing w:val="-2"/>
                <w:sz w:val="28"/>
                <w:szCs w:val="28"/>
              </w:rPr>
              <w:t>—</w:t>
            </w:r>
            <w:r>
              <w:rPr>
                <w:rFonts w:ascii="Times New Roman" w:hAnsi="Times New Roman" w:eastAsiaTheme="minorEastAsia"/>
                <w:spacing w:val="-2"/>
                <w:sz w:val="28"/>
                <w:szCs w:val="28"/>
              </w:rPr>
              <w:t>201</w:t>
            </w:r>
            <w:r>
              <w:rPr>
                <w:rFonts w:hint="eastAsia" w:ascii="Times New Roman" w:hAnsi="Times New Roman" w:eastAsiaTheme="minorEastAsia"/>
                <w:spacing w:val="-2"/>
                <w:sz w:val="28"/>
                <w:szCs w:val="28"/>
              </w:rPr>
              <w:t>7</w:t>
            </w:r>
            <w:r>
              <w:rPr>
                <w:rFonts w:ascii="Times New Roman" w:hAnsi="Times New Roman" w:eastAsiaTheme="minorEastAsia"/>
                <w:spacing w:val="-2"/>
                <w:sz w:val="28"/>
                <w:szCs w:val="28"/>
              </w:rPr>
              <w:t>），项目</w:t>
            </w:r>
            <w:r>
              <w:rPr>
                <w:rFonts w:ascii="Times New Roman" w:hAnsi="Times New Roman" w:eastAsiaTheme="minorEastAsia"/>
                <w:sz w:val="28"/>
                <w:szCs w:val="28"/>
              </w:rPr>
              <w:t>用水量按30L/人·d计，</w:t>
            </w:r>
            <w:r>
              <w:rPr>
                <w:rFonts w:ascii="Times New Roman" w:hAnsi="Times New Roman"/>
                <w:sz w:val="28"/>
                <w:szCs w:val="28"/>
              </w:rPr>
              <w:t>，职工生活用水量为0.</w:t>
            </w:r>
            <w:r>
              <w:rPr>
                <w:rFonts w:hint="eastAsia" w:ascii="Times New Roman" w:hAnsi="Times New Roman"/>
                <w:sz w:val="28"/>
                <w:szCs w:val="28"/>
              </w:rPr>
              <w:t>24</w:t>
            </w:r>
            <w:r>
              <w:rPr>
                <w:rFonts w:ascii="Times New Roman" w:hAnsi="Times New Roman"/>
                <w:sz w:val="28"/>
                <w:szCs w:val="28"/>
              </w:rPr>
              <w:t xml:space="preserve"> m</w:t>
            </w:r>
            <w:r>
              <w:rPr>
                <w:rFonts w:ascii="Times New Roman" w:hAnsi="Times New Roman"/>
                <w:sz w:val="28"/>
                <w:szCs w:val="28"/>
                <w:vertAlign w:val="superscript"/>
              </w:rPr>
              <w:t>3</w:t>
            </w:r>
            <w:r>
              <w:rPr>
                <w:rFonts w:ascii="Times New Roman" w:hAnsi="Times New Roman"/>
                <w:sz w:val="28"/>
                <w:szCs w:val="28"/>
              </w:rPr>
              <w:t>/d（约</w:t>
            </w:r>
            <w:r>
              <w:rPr>
                <w:rFonts w:hint="eastAsia" w:ascii="Times New Roman" w:hAnsi="Times New Roman"/>
                <w:sz w:val="28"/>
                <w:szCs w:val="28"/>
              </w:rPr>
              <w:t>87.6</w:t>
            </w:r>
            <w:r>
              <w:rPr>
                <w:rFonts w:ascii="Times New Roman" w:hAnsi="Times New Roman"/>
                <w:sz w:val="28"/>
                <w:szCs w:val="28"/>
              </w:rPr>
              <w:t xml:space="preserve"> m</w:t>
            </w:r>
            <w:r>
              <w:rPr>
                <w:rFonts w:ascii="Times New Roman" w:hAnsi="Times New Roman"/>
                <w:sz w:val="28"/>
                <w:szCs w:val="28"/>
                <w:vertAlign w:val="superscript"/>
              </w:rPr>
              <w:t>3</w:t>
            </w:r>
            <w:r>
              <w:rPr>
                <w:rFonts w:ascii="Times New Roman" w:hAnsi="Times New Roman"/>
                <w:sz w:val="28"/>
                <w:szCs w:val="28"/>
              </w:rPr>
              <w:t>/a）。</w:t>
            </w:r>
            <w:r>
              <w:rPr>
                <w:rFonts w:hint="eastAsia" w:ascii="Times New Roman" w:hAnsi="Times New Roman"/>
                <w:sz w:val="28"/>
                <w:szCs w:val="28"/>
              </w:rPr>
              <w:t>本项目无生产废水；生活</w:t>
            </w:r>
            <w:r>
              <w:rPr>
                <w:rFonts w:ascii="Times New Roman" w:hAnsi="Times New Roman" w:eastAsiaTheme="minorEastAsia"/>
                <w:sz w:val="28"/>
                <w:szCs w:val="28"/>
              </w:rPr>
              <w:t>污水排放量按其用水量的80%计，</w:t>
            </w:r>
            <w:r>
              <w:rPr>
                <w:rFonts w:hint="eastAsia" w:ascii="Times New Roman" w:hAnsi="Times New Roman" w:eastAsiaTheme="minorEastAsia"/>
                <w:sz w:val="28"/>
                <w:szCs w:val="28"/>
              </w:rPr>
              <w:t>则</w:t>
            </w:r>
            <w:r>
              <w:rPr>
                <w:rFonts w:ascii="Times New Roman" w:hAnsi="Times New Roman" w:eastAsiaTheme="minorEastAsia"/>
                <w:sz w:val="28"/>
                <w:szCs w:val="28"/>
              </w:rPr>
              <w:t>污水产生量0.1</w:t>
            </w:r>
            <w:r>
              <w:rPr>
                <w:rFonts w:hint="eastAsia" w:ascii="Times New Roman" w:hAnsi="Times New Roman" w:eastAsiaTheme="minorEastAsia"/>
                <w:sz w:val="28"/>
                <w:szCs w:val="28"/>
              </w:rPr>
              <w:t>9</w:t>
            </w:r>
            <w:r>
              <w:rPr>
                <w:rFonts w:ascii="Times New Roman" w:hAnsi="Times New Roman" w:eastAsiaTheme="minorEastAsia"/>
                <w:sz w:val="28"/>
                <w:szCs w:val="28"/>
              </w:rPr>
              <w:t xml:space="preserve"> m</w:t>
            </w:r>
            <w:r>
              <w:rPr>
                <w:rFonts w:ascii="Times New Roman" w:hAnsi="Times New Roman" w:eastAsiaTheme="minorEastAsia"/>
                <w:sz w:val="28"/>
                <w:szCs w:val="28"/>
                <w:vertAlign w:val="superscript"/>
              </w:rPr>
              <w:t>3</w:t>
            </w:r>
            <w:r>
              <w:rPr>
                <w:rFonts w:ascii="Times New Roman" w:hAnsi="Times New Roman" w:eastAsiaTheme="minorEastAsia"/>
                <w:sz w:val="28"/>
                <w:szCs w:val="28"/>
              </w:rPr>
              <w:t>/d，</w:t>
            </w:r>
            <w:r>
              <w:rPr>
                <w:rFonts w:hint="eastAsia" w:ascii="Times New Roman" w:hAnsi="Times New Roman" w:eastAsiaTheme="minorEastAsia"/>
                <w:sz w:val="28"/>
                <w:szCs w:val="28"/>
              </w:rPr>
              <w:t>70.8</w:t>
            </w:r>
            <w:r>
              <w:rPr>
                <w:rFonts w:ascii="Times New Roman" w:hAnsi="Times New Roman" w:eastAsiaTheme="minorEastAsia"/>
                <w:sz w:val="28"/>
                <w:szCs w:val="28"/>
              </w:rPr>
              <w:t xml:space="preserve"> t/a。污水中主要污染物浓度COD</w:t>
            </w:r>
            <w:r>
              <w:rPr>
                <w:rFonts w:ascii="Times New Roman" w:hAnsi="Times New Roman" w:eastAsiaTheme="minorEastAsia"/>
                <w:sz w:val="28"/>
                <w:szCs w:val="28"/>
                <w:vertAlign w:val="subscript"/>
              </w:rPr>
              <w:t xml:space="preserve"> </w:t>
            </w:r>
            <w:r>
              <w:rPr>
                <w:rFonts w:ascii="Times New Roman" w:hAnsi="Times New Roman" w:eastAsiaTheme="minorEastAsia"/>
                <w:sz w:val="28"/>
                <w:szCs w:val="28"/>
              </w:rPr>
              <w:t>300mg/L、氨氮25 mg/L、SS 200mg/L。</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生活废水排至站内防渗旱厕，定期清掏，外运堆肥。本项目废水核算结果如下表所示。</w:t>
            </w:r>
          </w:p>
          <w:p>
            <w:pPr>
              <w:spacing w:line="360" w:lineRule="auto"/>
              <w:jc w:val="center"/>
              <w:rPr>
                <w:rFonts w:ascii="Times New Roman" w:hAnsi="Times New Roman" w:eastAsiaTheme="minorEastAsia"/>
                <w:b/>
                <w:sz w:val="24"/>
                <w:szCs w:val="24"/>
              </w:rPr>
            </w:pPr>
            <w:r>
              <w:rPr>
                <w:rFonts w:ascii="Times New Roman" w:hAnsi="Times New Roman" w:eastAsiaTheme="minorEastAsia"/>
                <w:b/>
                <w:sz w:val="24"/>
                <w:szCs w:val="24"/>
              </w:rPr>
              <w:t>表</w:t>
            </w:r>
            <w:r>
              <w:rPr>
                <w:rFonts w:hint="eastAsia" w:ascii="Times New Roman" w:hAnsi="Times New Roman" w:eastAsiaTheme="minorEastAsia"/>
                <w:b/>
                <w:sz w:val="24"/>
                <w:szCs w:val="24"/>
              </w:rPr>
              <w:t>26</w:t>
            </w:r>
            <w:r>
              <w:rPr>
                <w:rFonts w:ascii="Times New Roman" w:hAnsi="Times New Roman" w:eastAsiaTheme="minorEastAsia"/>
                <w:b/>
                <w:sz w:val="24"/>
                <w:szCs w:val="24"/>
              </w:rPr>
              <w:t xml:space="preserve">    废水污染源源强核算结果及相关参数一览表</w:t>
            </w:r>
          </w:p>
          <w:tbl>
            <w:tblPr>
              <w:tblStyle w:val="26"/>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421"/>
              <w:gridCol w:w="421"/>
              <w:gridCol w:w="421"/>
              <w:gridCol w:w="830"/>
              <w:gridCol w:w="649"/>
              <w:gridCol w:w="421"/>
              <w:gridCol w:w="1069"/>
              <w:gridCol w:w="830"/>
              <w:gridCol w:w="421"/>
              <w:gridCol w:w="591"/>
              <w:gridCol w:w="421"/>
              <w:gridCol w:w="1069"/>
              <w:gridCol w:w="830"/>
              <w:gridCol w:w="728"/>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233"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序号</w:t>
                  </w:r>
                </w:p>
              </w:tc>
              <w:tc>
                <w:tcPr>
                  <w:tcW w:w="232"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污染物类别</w:t>
                  </w:r>
                </w:p>
              </w:tc>
              <w:tc>
                <w:tcPr>
                  <w:tcW w:w="232"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污染源</w:t>
                  </w:r>
                </w:p>
              </w:tc>
              <w:tc>
                <w:tcPr>
                  <w:tcW w:w="389"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排水量（t/a）</w:t>
                  </w:r>
                </w:p>
              </w:tc>
              <w:tc>
                <w:tcPr>
                  <w:tcW w:w="421"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污染物名称</w:t>
                  </w:r>
                </w:p>
              </w:tc>
              <w:tc>
                <w:tcPr>
                  <w:tcW w:w="1271" w:type="pct"/>
                  <w:gridSpan w:val="3"/>
                  <w:shd w:val="clear" w:color="000000" w:fill="FFFFFF"/>
                  <w:vAlign w:val="center"/>
                </w:tcPr>
                <w:p>
                  <w:pPr>
                    <w:jc w:val="center"/>
                    <w:rPr>
                      <w:rFonts w:ascii="Times New Roman" w:hAnsi="Times New Roman"/>
                      <w:kern w:val="0"/>
                      <w:szCs w:val="21"/>
                    </w:rPr>
                  </w:pPr>
                  <w:r>
                    <w:rPr>
                      <w:rFonts w:ascii="Times New Roman" w:hAnsi="Times New Roman"/>
                      <w:kern w:val="0"/>
                      <w:szCs w:val="21"/>
                    </w:rPr>
                    <w:t>污染物产生</w:t>
                  </w:r>
                </w:p>
              </w:tc>
              <w:tc>
                <w:tcPr>
                  <w:tcW w:w="555" w:type="pct"/>
                  <w:gridSpan w:val="2"/>
                  <w:shd w:val="clear" w:color="000000" w:fill="FFFFFF"/>
                  <w:vAlign w:val="center"/>
                </w:tcPr>
                <w:p>
                  <w:pPr>
                    <w:jc w:val="center"/>
                    <w:rPr>
                      <w:rFonts w:ascii="Times New Roman" w:hAnsi="Times New Roman"/>
                      <w:kern w:val="0"/>
                      <w:szCs w:val="21"/>
                    </w:rPr>
                  </w:pPr>
                  <w:r>
                    <w:rPr>
                      <w:rFonts w:ascii="Times New Roman" w:hAnsi="Times New Roman"/>
                      <w:kern w:val="0"/>
                      <w:szCs w:val="21"/>
                    </w:rPr>
                    <w:t>治理措施</w:t>
                  </w:r>
                </w:p>
              </w:tc>
              <w:tc>
                <w:tcPr>
                  <w:tcW w:w="1271" w:type="pct"/>
                  <w:gridSpan w:val="3"/>
                  <w:shd w:val="clear" w:color="000000" w:fill="FFFFFF"/>
                  <w:vAlign w:val="center"/>
                </w:tcPr>
                <w:p>
                  <w:pPr>
                    <w:jc w:val="center"/>
                    <w:rPr>
                      <w:rFonts w:ascii="Times New Roman" w:hAnsi="Times New Roman"/>
                      <w:kern w:val="0"/>
                      <w:szCs w:val="21"/>
                    </w:rPr>
                  </w:pPr>
                  <w:r>
                    <w:rPr>
                      <w:rFonts w:ascii="Times New Roman" w:hAnsi="Times New Roman"/>
                      <w:kern w:val="0"/>
                      <w:szCs w:val="21"/>
                    </w:rPr>
                    <w:t>污染物排放</w:t>
                  </w:r>
                </w:p>
              </w:tc>
              <w:tc>
                <w:tcPr>
                  <w:tcW w:w="396"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排放时间</w:t>
                  </w:r>
                </w:p>
                <w:p>
                  <w:pPr>
                    <w:jc w:val="center"/>
                    <w:rPr>
                      <w:rFonts w:ascii="Times New Roman" w:hAnsi="Times New Roman"/>
                      <w:kern w:val="0"/>
                      <w:szCs w:val="21"/>
                    </w:rPr>
                  </w:pPr>
                  <w:r>
                    <w:rPr>
                      <w:rFonts w:ascii="Times New Roman" w:hAnsi="Times New Roman"/>
                      <w:kern w:val="0"/>
                      <w:szCs w:val="21"/>
                    </w:rPr>
                    <w:t>（h）</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233" w:type="pct"/>
                  <w:vMerge w:val="continue"/>
                  <w:vAlign w:val="center"/>
                </w:tcPr>
                <w:p>
                  <w:pPr>
                    <w:rPr>
                      <w:rFonts w:ascii="Times New Roman" w:hAnsi="Times New Roman"/>
                      <w:kern w:val="0"/>
                      <w:szCs w:val="21"/>
                    </w:rPr>
                  </w:pPr>
                </w:p>
              </w:tc>
              <w:tc>
                <w:tcPr>
                  <w:tcW w:w="232" w:type="pct"/>
                  <w:vMerge w:val="continue"/>
                  <w:vAlign w:val="center"/>
                </w:tcPr>
                <w:p>
                  <w:pPr>
                    <w:rPr>
                      <w:rFonts w:ascii="Times New Roman" w:hAnsi="Times New Roman"/>
                      <w:kern w:val="0"/>
                      <w:szCs w:val="21"/>
                    </w:rPr>
                  </w:pPr>
                </w:p>
              </w:tc>
              <w:tc>
                <w:tcPr>
                  <w:tcW w:w="232" w:type="pct"/>
                  <w:vMerge w:val="continue"/>
                  <w:vAlign w:val="center"/>
                </w:tcPr>
                <w:p>
                  <w:pPr>
                    <w:rPr>
                      <w:rFonts w:ascii="Times New Roman" w:hAnsi="Times New Roman"/>
                      <w:kern w:val="0"/>
                      <w:szCs w:val="21"/>
                    </w:rPr>
                  </w:pPr>
                </w:p>
              </w:tc>
              <w:tc>
                <w:tcPr>
                  <w:tcW w:w="389" w:type="pct"/>
                  <w:vMerge w:val="continue"/>
                  <w:vAlign w:val="center"/>
                </w:tcPr>
                <w:p>
                  <w:pPr>
                    <w:rPr>
                      <w:rFonts w:ascii="Times New Roman" w:hAnsi="Times New Roman"/>
                      <w:kern w:val="0"/>
                      <w:szCs w:val="21"/>
                    </w:rPr>
                  </w:pPr>
                </w:p>
              </w:tc>
              <w:tc>
                <w:tcPr>
                  <w:tcW w:w="421" w:type="pct"/>
                  <w:vMerge w:val="continue"/>
                  <w:vAlign w:val="center"/>
                </w:tcPr>
                <w:p>
                  <w:pPr>
                    <w:rPr>
                      <w:rFonts w:ascii="Times New Roman" w:hAnsi="Times New Roman"/>
                      <w:kern w:val="0"/>
                      <w:szCs w:val="21"/>
                    </w:rPr>
                  </w:pPr>
                </w:p>
              </w:tc>
              <w:tc>
                <w:tcPr>
                  <w:tcW w:w="230"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核算方法</w:t>
                  </w:r>
                </w:p>
              </w:tc>
              <w:tc>
                <w:tcPr>
                  <w:tcW w:w="586"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产生浓度（mg/L）</w:t>
                  </w:r>
                </w:p>
              </w:tc>
              <w:tc>
                <w:tcPr>
                  <w:tcW w:w="455"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产生量</w:t>
                  </w:r>
                </w:p>
              </w:tc>
              <w:tc>
                <w:tcPr>
                  <w:tcW w:w="230"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工艺</w:t>
                  </w:r>
                </w:p>
              </w:tc>
              <w:tc>
                <w:tcPr>
                  <w:tcW w:w="325"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效率%</w:t>
                  </w:r>
                </w:p>
              </w:tc>
              <w:tc>
                <w:tcPr>
                  <w:tcW w:w="230"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核算方法</w:t>
                  </w: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排放浓度</w:t>
                  </w:r>
                </w:p>
              </w:tc>
              <w:tc>
                <w:tcPr>
                  <w:tcW w:w="455"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排放量</w:t>
                  </w:r>
                </w:p>
              </w:tc>
              <w:tc>
                <w:tcPr>
                  <w:tcW w:w="396" w:type="pct"/>
                  <w:vMerge w:val="continue"/>
                  <w:shd w:val="clear" w:color="000000" w:fill="FFFFFF"/>
                  <w:vAlign w:val="center"/>
                </w:tcPr>
                <w:p>
                  <w:pPr>
                    <w:jc w:val="center"/>
                    <w:rPr>
                      <w:rFonts w:ascii="Times New Roman" w:hAnsi="Times New Roman"/>
                      <w:kern w:val="0"/>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33" w:type="pct"/>
                  <w:vMerge w:val="continue"/>
                  <w:vAlign w:val="center"/>
                </w:tcPr>
                <w:p>
                  <w:pPr>
                    <w:rPr>
                      <w:rFonts w:ascii="Times New Roman" w:hAnsi="Times New Roman"/>
                      <w:kern w:val="0"/>
                      <w:szCs w:val="21"/>
                    </w:rPr>
                  </w:pPr>
                </w:p>
              </w:tc>
              <w:tc>
                <w:tcPr>
                  <w:tcW w:w="232" w:type="pct"/>
                  <w:vMerge w:val="continue"/>
                  <w:vAlign w:val="center"/>
                </w:tcPr>
                <w:p>
                  <w:pPr>
                    <w:rPr>
                      <w:rFonts w:ascii="Times New Roman" w:hAnsi="Times New Roman"/>
                      <w:kern w:val="0"/>
                      <w:szCs w:val="21"/>
                    </w:rPr>
                  </w:pPr>
                </w:p>
              </w:tc>
              <w:tc>
                <w:tcPr>
                  <w:tcW w:w="232" w:type="pct"/>
                  <w:vMerge w:val="continue"/>
                  <w:vAlign w:val="center"/>
                </w:tcPr>
                <w:p>
                  <w:pPr>
                    <w:rPr>
                      <w:rFonts w:ascii="Times New Roman" w:hAnsi="Times New Roman"/>
                      <w:kern w:val="0"/>
                      <w:szCs w:val="21"/>
                    </w:rPr>
                  </w:pPr>
                </w:p>
              </w:tc>
              <w:tc>
                <w:tcPr>
                  <w:tcW w:w="389" w:type="pct"/>
                  <w:vMerge w:val="continue"/>
                  <w:vAlign w:val="center"/>
                </w:tcPr>
                <w:p>
                  <w:pPr>
                    <w:rPr>
                      <w:rFonts w:ascii="Times New Roman" w:hAnsi="Times New Roman"/>
                      <w:kern w:val="0"/>
                      <w:szCs w:val="21"/>
                    </w:rPr>
                  </w:pPr>
                </w:p>
              </w:tc>
              <w:tc>
                <w:tcPr>
                  <w:tcW w:w="421" w:type="pct"/>
                  <w:vMerge w:val="continue"/>
                  <w:vAlign w:val="center"/>
                </w:tcPr>
                <w:p>
                  <w:pPr>
                    <w:rPr>
                      <w:rFonts w:ascii="Times New Roman" w:hAnsi="Times New Roman"/>
                      <w:kern w:val="0"/>
                      <w:szCs w:val="21"/>
                    </w:rPr>
                  </w:pPr>
                </w:p>
              </w:tc>
              <w:tc>
                <w:tcPr>
                  <w:tcW w:w="230" w:type="pct"/>
                  <w:vMerge w:val="continue"/>
                  <w:vAlign w:val="center"/>
                </w:tcPr>
                <w:p>
                  <w:pPr>
                    <w:rPr>
                      <w:rFonts w:ascii="Times New Roman" w:hAnsi="Times New Roman"/>
                      <w:kern w:val="0"/>
                      <w:szCs w:val="21"/>
                    </w:rPr>
                  </w:pPr>
                </w:p>
              </w:tc>
              <w:tc>
                <w:tcPr>
                  <w:tcW w:w="586" w:type="pct"/>
                  <w:vMerge w:val="continue"/>
                  <w:vAlign w:val="center"/>
                </w:tcPr>
                <w:p>
                  <w:pPr>
                    <w:rPr>
                      <w:rFonts w:ascii="Times New Roman" w:hAnsi="Times New Roman"/>
                      <w:kern w:val="0"/>
                      <w:szCs w:val="21"/>
                    </w:rPr>
                  </w:pPr>
                </w:p>
              </w:tc>
              <w:tc>
                <w:tcPr>
                  <w:tcW w:w="455"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（t/a）</w:t>
                  </w:r>
                </w:p>
              </w:tc>
              <w:tc>
                <w:tcPr>
                  <w:tcW w:w="230" w:type="pct"/>
                  <w:vMerge w:val="continue"/>
                  <w:vAlign w:val="center"/>
                </w:tcPr>
                <w:p>
                  <w:pPr>
                    <w:rPr>
                      <w:rFonts w:ascii="Times New Roman" w:hAnsi="Times New Roman"/>
                      <w:kern w:val="0"/>
                      <w:szCs w:val="21"/>
                    </w:rPr>
                  </w:pPr>
                </w:p>
              </w:tc>
              <w:tc>
                <w:tcPr>
                  <w:tcW w:w="325" w:type="pct"/>
                  <w:vMerge w:val="continue"/>
                  <w:vAlign w:val="center"/>
                </w:tcPr>
                <w:p>
                  <w:pPr>
                    <w:rPr>
                      <w:rFonts w:ascii="Times New Roman" w:hAnsi="Times New Roman"/>
                      <w:kern w:val="0"/>
                      <w:szCs w:val="21"/>
                    </w:rPr>
                  </w:pPr>
                </w:p>
              </w:tc>
              <w:tc>
                <w:tcPr>
                  <w:tcW w:w="230" w:type="pct"/>
                  <w:vMerge w:val="continue"/>
                  <w:vAlign w:val="center"/>
                </w:tcPr>
                <w:p>
                  <w:pPr>
                    <w:rPr>
                      <w:rFonts w:ascii="Times New Roman" w:hAnsi="Times New Roman"/>
                      <w:kern w:val="0"/>
                      <w:szCs w:val="21"/>
                    </w:rPr>
                  </w:pP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（mg/L）</w:t>
                  </w:r>
                </w:p>
              </w:tc>
              <w:tc>
                <w:tcPr>
                  <w:tcW w:w="455"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（t/a）</w:t>
                  </w:r>
                </w:p>
              </w:tc>
              <w:tc>
                <w:tcPr>
                  <w:tcW w:w="396" w:type="pct"/>
                  <w:vMerge w:val="continue"/>
                  <w:shd w:val="clear" w:color="000000" w:fill="FFFFFF"/>
                  <w:vAlign w:val="center"/>
                </w:tcPr>
                <w:p>
                  <w:pPr>
                    <w:rPr>
                      <w:rFonts w:ascii="Times New Roman" w:hAnsi="Times New Roman"/>
                      <w:kern w:val="0"/>
                      <w:sz w:val="22"/>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33"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1</w:t>
                  </w:r>
                </w:p>
              </w:tc>
              <w:tc>
                <w:tcPr>
                  <w:tcW w:w="464" w:type="pct"/>
                  <w:gridSpan w:val="2"/>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员工生活废水</w:t>
                  </w:r>
                </w:p>
              </w:tc>
              <w:tc>
                <w:tcPr>
                  <w:tcW w:w="389"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70.8</w:t>
                  </w:r>
                </w:p>
              </w:tc>
              <w:tc>
                <w:tcPr>
                  <w:tcW w:w="421"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COD</w:t>
                  </w:r>
                </w:p>
              </w:tc>
              <w:tc>
                <w:tcPr>
                  <w:tcW w:w="230"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类比法</w:t>
                  </w: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300</w:t>
                  </w:r>
                </w:p>
              </w:tc>
              <w:tc>
                <w:tcPr>
                  <w:tcW w:w="455" w:type="pct"/>
                  <w:shd w:val="clear" w:color="000000" w:fill="FFFFFF"/>
                  <w:vAlign w:val="center"/>
                </w:tcPr>
                <w:p>
                  <w:pPr>
                    <w:jc w:val="center"/>
                    <w:rPr>
                      <w:rFonts w:ascii="Times New Roman" w:hAnsi="Times New Roman"/>
                      <w:kern w:val="0"/>
                      <w:szCs w:val="21"/>
                    </w:rPr>
                  </w:pPr>
                  <w:r>
                    <w:rPr>
                      <w:rFonts w:hint="eastAsia" w:ascii="Times New Roman" w:hAnsi="Times New Roman"/>
                      <w:kern w:val="0"/>
                      <w:szCs w:val="21"/>
                    </w:rPr>
                    <w:t>0.021</w:t>
                  </w:r>
                </w:p>
              </w:tc>
              <w:tc>
                <w:tcPr>
                  <w:tcW w:w="230" w:type="pct"/>
                  <w:vMerge w:val="restart"/>
                  <w:shd w:val="clear" w:color="000000" w:fill="FFFFFF"/>
                  <w:vAlign w:val="center"/>
                </w:tcPr>
                <w:p>
                  <w:pPr>
                    <w:jc w:val="center"/>
                    <w:rPr>
                      <w:rFonts w:ascii="Times New Roman" w:hAnsi="Times New Roman"/>
                      <w:kern w:val="0"/>
                      <w:szCs w:val="21"/>
                    </w:rPr>
                  </w:pPr>
                  <w:r>
                    <w:rPr>
                      <w:rFonts w:hint="eastAsia" w:ascii="Times New Roman" w:hAnsi="Times New Roman"/>
                      <w:kern w:val="0"/>
                      <w:szCs w:val="21"/>
                    </w:rPr>
                    <w:t>清掏外运</w:t>
                  </w:r>
                </w:p>
              </w:tc>
              <w:tc>
                <w:tcPr>
                  <w:tcW w:w="325"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100</w:t>
                  </w:r>
                </w:p>
              </w:tc>
              <w:tc>
                <w:tcPr>
                  <w:tcW w:w="230"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w:t>
                  </w: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w:t>
                  </w:r>
                </w:p>
              </w:tc>
              <w:tc>
                <w:tcPr>
                  <w:tcW w:w="455"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w:t>
                  </w:r>
                </w:p>
              </w:tc>
              <w:tc>
                <w:tcPr>
                  <w:tcW w:w="396" w:type="pct"/>
                  <w:vMerge w:val="restart"/>
                  <w:shd w:val="clear" w:color="000000" w:fill="FFFFFF"/>
                  <w:vAlign w:val="center"/>
                </w:tcPr>
                <w:p>
                  <w:pPr>
                    <w:jc w:val="center"/>
                    <w:rPr>
                      <w:rFonts w:ascii="Times New Roman" w:hAnsi="Times New Roman"/>
                      <w:kern w:val="0"/>
                      <w:szCs w:val="21"/>
                    </w:rPr>
                  </w:pPr>
                  <w:r>
                    <w:rPr>
                      <w:rFonts w:ascii="Times New Roman" w:hAnsi="Times New Roman"/>
                      <w:kern w:val="0"/>
                      <w:szCs w:val="21"/>
                    </w:rPr>
                    <w:t>8760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45" w:hRule="atLeast"/>
              </w:trPr>
              <w:tc>
                <w:tcPr>
                  <w:tcW w:w="233" w:type="pct"/>
                  <w:vMerge w:val="continue"/>
                  <w:vAlign w:val="center"/>
                </w:tcPr>
                <w:p>
                  <w:pPr>
                    <w:rPr>
                      <w:rFonts w:ascii="Times New Roman" w:hAnsi="Times New Roman"/>
                      <w:kern w:val="0"/>
                      <w:szCs w:val="21"/>
                    </w:rPr>
                  </w:pPr>
                </w:p>
              </w:tc>
              <w:tc>
                <w:tcPr>
                  <w:tcW w:w="464" w:type="pct"/>
                  <w:gridSpan w:val="2"/>
                  <w:vMerge w:val="continue"/>
                  <w:vAlign w:val="center"/>
                </w:tcPr>
                <w:p>
                  <w:pPr>
                    <w:rPr>
                      <w:rFonts w:ascii="Times New Roman" w:hAnsi="Times New Roman"/>
                      <w:kern w:val="0"/>
                      <w:szCs w:val="21"/>
                    </w:rPr>
                  </w:pPr>
                </w:p>
              </w:tc>
              <w:tc>
                <w:tcPr>
                  <w:tcW w:w="389" w:type="pct"/>
                  <w:vMerge w:val="continue"/>
                  <w:vAlign w:val="center"/>
                </w:tcPr>
                <w:p>
                  <w:pPr>
                    <w:rPr>
                      <w:rFonts w:ascii="Times New Roman" w:hAnsi="Times New Roman"/>
                      <w:kern w:val="0"/>
                      <w:szCs w:val="21"/>
                    </w:rPr>
                  </w:pPr>
                </w:p>
              </w:tc>
              <w:tc>
                <w:tcPr>
                  <w:tcW w:w="421"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氨氮</w:t>
                  </w:r>
                </w:p>
              </w:tc>
              <w:tc>
                <w:tcPr>
                  <w:tcW w:w="230" w:type="pct"/>
                  <w:vMerge w:val="continue"/>
                  <w:vAlign w:val="center"/>
                </w:tcPr>
                <w:p>
                  <w:pPr>
                    <w:rPr>
                      <w:rFonts w:ascii="Times New Roman" w:hAnsi="Times New Roman"/>
                      <w:kern w:val="0"/>
                      <w:szCs w:val="21"/>
                    </w:rPr>
                  </w:pP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25</w:t>
                  </w:r>
                </w:p>
              </w:tc>
              <w:tc>
                <w:tcPr>
                  <w:tcW w:w="455" w:type="pct"/>
                  <w:shd w:val="clear" w:color="000000" w:fill="FFFFFF"/>
                  <w:vAlign w:val="center"/>
                </w:tcPr>
                <w:p>
                  <w:pPr>
                    <w:jc w:val="center"/>
                    <w:rPr>
                      <w:rFonts w:ascii="Times New Roman" w:hAnsi="Times New Roman"/>
                      <w:kern w:val="0"/>
                      <w:szCs w:val="21"/>
                    </w:rPr>
                  </w:pPr>
                  <w:r>
                    <w:rPr>
                      <w:rFonts w:hint="eastAsia" w:ascii="Times New Roman" w:hAnsi="Times New Roman"/>
                      <w:kern w:val="0"/>
                      <w:szCs w:val="21"/>
                    </w:rPr>
                    <w:t>0.0018</w:t>
                  </w:r>
                </w:p>
              </w:tc>
              <w:tc>
                <w:tcPr>
                  <w:tcW w:w="230" w:type="pct"/>
                  <w:vMerge w:val="continue"/>
                  <w:vAlign w:val="center"/>
                </w:tcPr>
                <w:p>
                  <w:pPr>
                    <w:jc w:val="center"/>
                    <w:rPr>
                      <w:rFonts w:ascii="Times New Roman" w:hAnsi="Times New Roman"/>
                      <w:kern w:val="0"/>
                      <w:szCs w:val="21"/>
                    </w:rPr>
                  </w:pPr>
                </w:p>
              </w:tc>
              <w:tc>
                <w:tcPr>
                  <w:tcW w:w="325" w:type="pct"/>
                  <w:vMerge w:val="continue"/>
                  <w:shd w:val="clear" w:color="000000" w:fill="FFFFFF"/>
                  <w:vAlign w:val="center"/>
                </w:tcPr>
                <w:p>
                  <w:pPr>
                    <w:jc w:val="center"/>
                    <w:rPr>
                      <w:rFonts w:ascii="Times New Roman" w:hAnsi="Times New Roman"/>
                      <w:kern w:val="0"/>
                      <w:szCs w:val="21"/>
                    </w:rPr>
                  </w:pPr>
                </w:p>
              </w:tc>
              <w:tc>
                <w:tcPr>
                  <w:tcW w:w="230" w:type="pct"/>
                  <w:vMerge w:val="continue"/>
                  <w:vAlign w:val="center"/>
                </w:tcPr>
                <w:p>
                  <w:pPr>
                    <w:rPr>
                      <w:rFonts w:ascii="Times New Roman" w:hAnsi="Times New Roman"/>
                      <w:kern w:val="0"/>
                      <w:szCs w:val="21"/>
                    </w:rPr>
                  </w:pP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w:t>
                  </w:r>
                </w:p>
              </w:tc>
              <w:tc>
                <w:tcPr>
                  <w:tcW w:w="455"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w:t>
                  </w:r>
                </w:p>
              </w:tc>
              <w:tc>
                <w:tcPr>
                  <w:tcW w:w="396" w:type="pct"/>
                  <w:vMerge w:val="continue"/>
                  <w:vAlign w:val="center"/>
                </w:tcPr>
                <w:p>
                  <w:pPr>
                    <w:jc w:val="center"/>
                    <w:rPr>
                      <w:rFonts w:ascii="Times New Roman" w:hAnsi="Times New Roman"/>
                      <w:kern w:val="0"/>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233" w:type="pct"/>
                  <w:vMerge w:val="continue"/>
                  <w:vAlign w:val="center"/>
                </w:tcPr>
                <w:p>
                  <w:pPr>
                    <w:rPr>
                      <w:rFonts w:ascii="Times New Roman" w:hAnsi="Times New Roman"/>
                      <w:kern w:val="0"/>
                      <w:szCs w:val="21"/>
                    </w:rPr>
                  </w:pPr>
                </w:p>
              </w:tc>
              <w:tc>
                <w:tcPr>
                  <w:tcW w:w="464" w:type="pct"/>
                  <w:gridSpan w:val="2"/>
                  <w:vMerge w:val="continue"/>
                  <w:vAlign w:val="center"/>
                </w:tcPr>
                <w:p>
                  <w:pPr>
                    <w:rPr>
                      <w:rFonts w:ascii="Times New Roman" w:hAnsi="Times New Roman"/>
                      <w:kern w:val="0"/>
                      <w:szCs w:val="21"/>
                    </w:rPr>
                  </w:pPr>
                </w:p>
              </w:tc>
              <w:tc>
                <w:tcPr>
                  <w:tcW w:w="389" w:type="pct"/>
                  <w:vMerge w:val="continue"/>
                  <w:vAlign w:val="center"/>
                </w:tcPr>
                <w:p>
                  <w:pPr>
                    <w:rPr>
                      <w:rFonts w:ascii="Times New Roman" w:hAnsi="Times New Roman"/>
                      <w:kern w:val="0"/>
                      <w:szCs w:val="21"/>
                    </w:rPr>
                  </w:pPr>
                </w:p>
              </w:tc>
              <w:tc>
                <w:tcPr>
                  <w:tcW w:w="421"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SS</w:t>
                  </w:r>
                </w:p>
              </w:tc>
              <w:tc>
                <w:tcPr>
                  <w:tcW w:w="230" w:type="pct"/>
                  <w:vMerge w:val="continue"/>
                  <w:vAlign w:val="center"/>
                </w:tcPr>
                <w:p>
                  <w:pPr>
                    <w:rPr>
                      <w:rFonts w:ascii="Times New Roman" w:hAnsi="Times New Roman"/>
                      <w:kern w:val="0"/>
                      <w:szCs w:val="21"/>
                    </w:rPr>
                  </w:pP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200</w:t>
                  </w:r>
                </w:p>
              </w:tc>
              <w:tc>
                <w:tcPr>
                  <w:tcW w:w="455" w:type="pct"/>
                  <w:shd w:val="clear" w:color="000000" w:fill="FFFFFF"/>
                  <w:vAlign w:val="center"/>
                </w:tcPr>
                <w:p>
                  <w:pPr>
                    <w:jc w:val="center"/>
                    <w:rPr>
                      <w:rFonts w:ascii="Times New Roman" w:hAnsi="Times New Roman"/>
                      <w:kern w:val="0"/>
                      <w:szCs w:val="21"/>
                    </w:rPr>
                  </w:pPr>
                  <w:r>
                    <w:rPr>
                      <w:rFonts w:hint="eastAsia" w:ascii="Times New Roman" w:hAnsi="Times New Roman"/>
                      <w:kern w:val="0"/>
                      <w:szCs w:val="21"/>
                    </w:rPr>
                    <w:t>0.014</w:t>
                  </w:r>
                </w:p>
              </w:tc>
              <w:tc>
                <w:tcPr>
                  <w:tcW w:w="230" w:type="pct"/>
                  <w:vMerge w:val="continue"/>
                  <w:vAlign w:val="center"/>
                </w:tcPr>
                <w:p>
                  <w:pPr>
                    <w:jc w:val="center"/>
                    <w:rPr>
                      <w:rFonts w:ascii="Times New Roman" w:hAnsi="Times New Roman"/>
                      <w:kern w:val="0"/>
                      <w:szCs w:val="21"/>
                    </w:rPr>
                  </w:pPr>
                </w:p>
              </w:tc>
              <w:tc>
                <w:tcPr>
                  <w:tcW w:w="325" w:type="pct"/>
                  <w:vMerge w:val="continue"/>
                  <w:shd w:val="clear" w:color="000000" w:fill="FFFFFF"/>
                  <w:vAlign w:val="center"/>
                </w:tcPr>
                <w:p>
                  <w:pPr>
                    <w:jc w:val="center"/>
                    <w:rPr>
                      <w:rFonts w:ascii="Times New Roman" w:hAnsi="Times New Roman"/>
                      <w:kern w:val="0"/>
                      <w:szCs w:val="21"/>
                    </w:rPr>
                  </w:pPr>
                </w:p>
              </w:tc>
              <w:tc>
                <w:tcPr>
                  <w:tcW w:w="230" w:type="pct"/>
                  <w:vMerge w:val="continue"/>
                  <w:vAlign w:val="center"/>
                </w:tcPr>
                <w:p>
                  <w:pPr>
                    <w:rPr>
                      <w:rFonts w:ascii="Times New Roman" w:hAnsi="Times New Roman"/>
                      <w:kern w:val="0"/>
                      <w:szCs w:val="21"/>
                    </w:rPr>
                  </w:pPr>
                </w:p>
              </w:tc>
              <w:tc>
                <w:tcPr>
                  <w:tcW w:w="586"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w:t>
                  </w:r>
                </w:p>
              </w:tc>
              <w:tc>
                <w:tcPr>
                  <w:tcW w:w="455" w:type="pct"/>
                  <w:shd w:val="clear" w:color="000000" w:fill="FFFFFF"/>
                  <w:vAlign w:val="center"/>
                </w:tcPr>
                <w:p>
                  <w:pPr>
                    <w:jc w:val="center"/>
                    <w:rPr>
                      <w:rFonts w:ascii="Times New Roman" w:hAnsi="Times New Roman"/>
                      <w:kern w:val="0"/>
                      <w:szCs w:val="21"/>
                    </w:rPr>
                  </w:pPr>
                  <w:r>
                    <w:rPr>
                      <w:rFonts w:ascii="Times New Roman" w:hAnsi="Times New Roman"/>
                      <w:kern w:val="0"/>
                      <w:szCs w:val="21"/>
                    </w:rPr>
                    <w:t>/</w:t>
                  </w:r>
                </w:p>
              </w:tc>
              <w:tc>
                <w:tcPr>
                  <w:tcW w:w="396" w:type="pct"/>
                  <w:vMerge w:val="continue"/>
                  <w:vAlign w:val="center"/>
                </w:tcPr>
                <w:p>
                  <w:pPr>
                    <w:jc w:val="center"/>
                    <w:rPr>
                      <w:rFonts w:ascii="Times New Roman" w:hAnsi="Times New Roman"/>
                      <w:kern w:val="0"/>
                      <w:szCs w:val="21"/>
                    </w:rPr>
                  </w:pPr>
                </w:p>
              </w:tc>
            </w:tr>
          </w:tbl>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 xml:space="preserve">2 </w:t>
            </w:r>
            <w:r>
              <w:rPr>
                <w:rFonts w:ascii="Times New Roman" w:hAnsi="Times New Roman" w:eastAsiaTheme="minorEastAsia"/>
                <w:sz w:val="28"/>
                <w:szCs w:val="28"/>
              </w:rPr>
              <w:t>废气</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本项目主要大气污染物是油罐</w:t>
            </w:r>
            <w:r>
              <w:rPr>
                <w:rFonts w:hint="eastAsia" w:ascii="Times New Roman" w:hAnsi="Times New Roman" w:eastAsiaTheme="minorEastAsia"/>
                <w:sz w:val="28"/>
                <w:szCs w:val="28"/>
              </w:rPr>
              <w:t>呼吸损失、卸油损失和加油机作业损失</w:t>
            </w:r>
            <w:r>
              <w:rPr>
                <w:rFonts w:ascii="Times New Roman" w:hAnsi="Times New Roman" w:eastAsiaTheme="minorEastAsia"/>
                <w:sz w:val="28"/>
                <w:szCs w:val="28"/>
              </w:rPr>
              <w:t>等排放的挥发性有机物。</w:t>
            </w:r>
          </w:p>
          <w:p>
            <w:pPr>
              <w:spacing w:line="360" w:lineRule="auto"/>
              <w:ind w:firstLine="560" w:firstLineChars="200"/>
              <w:rPr>
                <w:rFonts w:ascii="Times New Roman" w:hAnsi="Times New Roman" w:eastAsiaTheme="minorEastAsia"/>
                <w:sz w:val="28"/>
                <w:szCs w:val="28"/>
              </w:rPr>
            </w:pPr>
            <w:r>
              <w:rPr>
                <w:rFonts w:hint="eastAsia" w:ascii="宋体" w:hAnsi="宋体" w:cs="宋体"/>
                <w:sz w:val="28"/>
                <w:szCs w:val="28"/>
              </w:rPr>
              <w:t>①</w:t>
            </w:r>
            <w:r>
              <w:rPr>
                <w:rFonts w:ascii="Times New Roman" w:hAnsi="Times New Roman" w:eastAsiaTheme="minorEastAsia"/>
                <w:sz w:val="28"/>
                <w:szCs w:val="28"/>
              </w:rPr>
              <w:t xml:space="preserve"> 挥发性有机物</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本项目总销售量为柴油销售1000 t/a、汽油销售量800 t/a。</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根据《中国加油站VOC排放污染现状及控制》（环境科学第27卷第8期2006年8月）确定项目汽油和柴油加油过程中油气排放系数。</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加油站汽油卸油时排放的油气，建设方采用密闭收集为基础的卸油油气回收系统进行回收，卸油的回收效率95%；汽油加油机排放的油气，采用分散式加油油气回收装置，加油回收效率90%。柴油储罐油罐密闭措施可以有效控制柴油储存过程中的呼吸损失。</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经计算加油站非甲烷总烃排放量如下表所示 。</w:t>
            </w:r>
          </w:p>
          <w:p>
            <w:pPr>
              <w:spacing w:line="360" w:lineRule="auto"/>
              <w:jc w:val="center"/>
              <w:rPr>
                <w:rFonts w:ascii="Times New Roman" w:hAnsi="Times New Roman"/>
                <w:b/>
                <w:bCs/>
                <w:sz w:val="24"/>
              </w:rPr>
            </w:pPr>
            <w:r>
              <w:rPr>
                <w:rFonts w:hint="eastAsia" w:ascii="Times New Roman" w:hAnsi="Times New Roman"/>
                <w:b/>
                <w:bCs/>
                <w:sz w:val="24"/>
              </w:rPr>
              <w:t>表27      正常排放情况一览表</w:t>
            </w:r>
          </w:p>
          <w:tbl>
            <w:tblPr>
              <w:tblStyle w:val="26"/>
              <w:tblW w:w="0" w:type="auto"/>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742"/>
              <w:gridCol w:w="1387"/>
              <w:gridCol w:w="1779"/>
              <w:gridCol w:w="1303"/>
              <w:gridCol w:w="1303"/>
              <w:gridCol w:w="1304"/>
              <w:gridCol w:w="1304"/>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3908" w:type="dxa"/>
                  <w:gridSpan w:val="3"/>
                  <w:vAlign w:val="center"/>
                </w:tcPr>
                <w:p>
                  <w:pPr>
                    <w:spacing w:line="300" w:lineRule="auto"/>
                    <w:jc w:val="center"/>
                    <w:rPr>
                      <w:szCs w:val="21"/>
                    </w:rPr>
                  </w:pPr>
                  <w:r>
                    <w:rPr>
                      <w:rFonts w:hint="eastAsia"/>
                      <w:szCs w:val="21"/>
                    </w:rPr>
                    <w:t>项目</w:t>
                  </w:r>
                </w:p>
              </w:tc>
              <w:tc>
                <w:tcPr>
                  <w:tcW w:w="1303" w:type="dxa"/>
                  <w:vAlign w:val="center"/>
                </w:tcPr>
                <w:p>
                  <w:pPr>
                    <w:spacing w:line="300" w:lineRule="auto"/>
                    <w:jc w:val="center"/>
                    <w:rPr>
                      <w:szCs w:val="21"/>
                    </w:rPr>
                  </w:pPr>
                  <w:r>
                    <w:rPr>
                      <w:rFonts w:hint="eastAsia"/>
                      <w:szCs w:val="21"/>
                    </w:rPr>
                    <w:t>产生系数</w:t>
                  </w:r>
                </w:p>
                <w:p>
                  <w:pPr>
                    <w:spacing w:line="300" w:lineRule="auto"/>
                    <w:jc w:val="center"/>
                    <w:rPr>
                      <w:szCs w:val="21"/>
                    </w:rPr>
                  </w:pPr>
                  <w:r>
                    <w:rPr>
                      <w:rFonts w:hint="eastAsia"/>
                      <w:szCs w:val="21"/>
                    </w:rPr>
                    <w:t>（kg/t）</w:t>
                  </w:r>
                </w:p>
              </w:tc>
              <w:tc>
                <w:tcPr>
                  <w:tcW w:w="1303" w:type="dxa"/>
                  <w:vAlign w:val="center"/>
                </w:tcPr>
                <w:p>
                  <w:pPr>
                    <w:spacing w:line="300" w:lineRule="auto"/>
                    <w:jc w:val="center"/>
                    <w:rPr>
                      <w:szCs w:val="21"/>
                    </w:rPr>
                  </w:pPr>
                  <w:r>
                    <w:rPr>
                      <w:rFonts w:hint="eastAsia"/>
                      <w:szCs w:val="21"/>
                    </w:rPr>
                    <w:t>通过量</w:t>
                  </w:r>
                </w:p>
                <w:p>
                  <w:pPr>
                    <w:spacing w:line="300" w:lineRule="auto"/>
                    <w:jc w:val="center"/>
                    <w:rPr>
                      <w:szCs w:val="21"/>
                    </w:rPr>
                  </w:pPr>
                  <w:r>
                    <w:rPr>
                      <w:rFonts w:hint="eastAsia"/>
                      <w:szCs w:val="21"/>
                    </w:rPr>
                    <w:t>（t/a）</w:t>
                  </w:r>
                </w:p>
              </w:tc>
              <w:tc>
                <w:tcPr>
                  <w:tcW w:w="1304" w:type="dxa"/>
                  <w:vAlign w:val="center"/>
                </w:tcPr>
                <w:p>
                  <w:pPr>
                    <w:spacing w:line="300" w:lineRule="auto"/>
                    <w:jc w:val="center"/>
                    <w:rPr>
                      <w:szCs w:val="21"/>
                    </w:rPr>
                  </w:pPr>
                  <w:r>
                    <w:rPr>
                      <w:rFonts w:hint="eastAsia"/>
                      <w:szCs w:val="21"/>
                    </w:rPr>
                    <w:t>产生量</w:t>
                  </w:r>
                </w:p>
                <w:p>
                  <w:pPr>
                    <w:spacing w:line="300" w:lineRule="auto"/>
                    <w:jc w:val="center"/>
                    <w:rPr>
                      <w:szCs w:val="21"/>
                    </w:rPr>
                  </w:pPr>
                  <w:r>
                    <w:rPr>
                      <w:rFonts w:hint="eastAsia"/>
                      <w:szCs w:val="21"/>
                    </w:rPr>
                    <w:t>（kg/a）</w:t>
                  </w:r>
                </w:p>
              </w:tc>
              <w:tc>
                <w:tcPr>
                  <w:tcW w:w="1304" w:type="dxa"/>
                  <w:vAlign w:val="center"/>
                </w:tcPr>
                <w:p>
                  <w:pPr>
                    <w:spacing w:line="300" w:lineRule="auto"/>
                    <w:jc w:val="center"/>
                    <w:rPr>
                      <w:szCs w:val="21"/>
                    </w:rPr>
                  </w:pPr>
                  <w:r>
                    <w:rPr>
                      <w:rFonts w:hint="eastAsia"/>
                      <w:szCs w:val="21"/>
                    </w:rPr>
                    <w:t>排放量</w:t>
                  </w:r>
                </w:p>
                <w:p>
                  <w:pPr>
                    <w:spacing w:line="300" w:lineRule="auto"/>
                    <w:jc w:val="center"/>
                    <w:rPr>
                      <w:szCs w:val="21"/>
                    </w:rPr>
                  </w:pPr>
                  <w:r>
                    <w:rPr>
                      <w:rFonts w:hint="eastAsia"/>
                      <w:szCs w:val="21"/>
                    </w:rPr>
                    <w:t>（kg/a）</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742" w:type="dxa"/>
                  <w:vMerge w:val="restart"/>
                  <w:vAlign w:val="center"/>
                </w:tcPr>
                <w:p>
                  <w:pPr>
                    <w:spacing w:line="300" w:lineRule="auto"/>
                    <w:jc w:val="center"/>
                    <w:rPr>
                      <w:szCs w:val="21"/>
                    </w:rPr>
                  </w:pPr>
                  <w:r>
                    <w:rPr>
                      <w:rFonts w:hint="eastAsia"/>
                      <w:szCs w:val="21"/>
                    </w:rPr>
                    <w:t>汽油</w:t>
                  </w:r>
                </w:p>
              </w:tc>
              <w:tc>
                <w:tcPr>
                  <w:tcW w:w="1387" w:type="dxa"/>
                  <w:vAlign w:val="center"/>
                </w:tcPr>
                <w:p>
                  <w:pPr>
                    <w:spacing w:line="300" w:lineRule="auto"/>
                    <w:jc w:val="center"/>
                    <w:rPr>
                      <w:szCs w:val="21"/>
                    </w:rPr>
                  </w:pPr>
                  <w:r>
                    <w:rPr>
                      <w:rFonts w:hint="eastAsia"/>
                      <w:szCs w:val="21"/>
                    </w:rPr>
                    <w:t>储油罐</w:t>
                  </w:r>
                </w:p>
              </w:tc>
              <w:tc>
                <w:tcPr>
                  <w:tcW w:w="1779" w:type="dxa"/>
                  <w:vAlign w:val="center"/>
                </w:tcPr>
                <w:p>
                  <w:pPr>
                    <w:spacing w:line="300" w:lineRule="auto"/>
                    <w:jc w:val="center"/>
                    <w:rPr>
                      <w:szCs w:val="21"/>
                    </w:rPr>
                  </w:pPr>
                  <w:r>
                    <w:rPr>
                      <w:rFonts w:hint="eastAsia"/>
                      <w:szCs w:val="21"/>
                    </w:rPr>
                    <w:t>呼吸损失</w:t>
                  </w:r>
                </w:p>
              </w:tc>
              <w:tc>
                <w:tcPr>
                  <w:tcW w:w="1303" w:type="dxa"/>
                  <w:vAlign w:val="center"/>
                </w:tcPr>
                <w:p>
                  <w:pPr>
                    <w:spacing w:line="300" w:lineRule="auto"/>
                    <w:jc w:val="center"/>
                    <w:rPr>
                      <w:szCs w:val="21"/>
                    </w:rPr>
                  </w:pPr>
                  <w:r>
                    <w:rPr>
                      <w:rFonts w:hint="eastAsia"/>
                      <w:szCs w:val="21"/>
                    </w:rPr>
                    <w:t>0.16</w:t>
                  </w:r>
                </w:p>
              </w:tc>
              <w:tc>
                <w:tcPr>
                  <w:tcW w:w="1303" w:type="dxa"/>
                  <w:vMerge w:val="restart"/>
                  <w:vAlign w:val="center"/>
                </w:tcPr>
                <w:p>
                  <w:pPr>
                    <w:spacing w:line="300" w:lineRule="auto"/>
                    <w:jc w:val="center"/>
                    <w:rPr>
                      <w:szCs w:val="21"/>
                    </w:rPr>
                  </w:pPr>
                  <w:r>
                    <w:rPr>
                      <w:rFonts w:hint="eastAsia"/>
                      <w:szCs w:val="21"/>
                    </w:rPr>
                    <w:t>800</w:t>
                  </w:r>
                </w:p>
              </w:tc>
              <w:tc>
                <w:tcPr>
                  <w:tcW w:w="1304" w:type="dxa"/>
                  <w:vAlign w:val="center"/>
                </w:tcPr>
                <w:p>
                  <w:pPr>
                    <w:spacing w:line="300" w:lineRule="auto"/>
                    <w:jc w:val="center"/>
                    <w:rPr>
                      <w:szCs w:val="21"/>
                    </w:rPr>
                  </w:pPr>
                  <w:r>
                    <w:rPr>
                      <w:szCs w:val="21"/>
                    </w:rPr>
                    <w:t>128</w:t>
                  </w:r>
                </w:p>
              </w:tc>
              <w:tc>
                <w:tcPr>
                  <w:tcW w:w="1304" w:type="dxa"/>
                  <w:vAlign w:val="center"/>
                </w:tcPr>
                <w:p>
                  <w:pPr>
                    <w:spacing w:line="300" w:lineRule="auto"/>
                    <w:jc w:val="center"/>
                    <w:rPr>
                      <w:szCs w:val="21"/>
                    </w:rPr>
                  </w:pPr>
                  <w:r>
                    <w:rPr>
                      <w:szCs w:val="21"/>
                    </w:rPr>
                    <w:t>128</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742" w:type="dxa"/>
                  <w:vMerge w:val="continue"/>
                  <w:vAlign w:val="center"/>
                </w:tcPr>
                <w:p>
                  <w:pPr>
                    <w:spacing w:line="300" w:lineRule="auto"/>
                    <w:jc w:val="center"/>
                    <w:rPr>
                      <w:szCs w:val="21"/>
                    </w:rPr>
                  </w:pPr>
                </w:p>
              </w:tc>
              <w:tc>
                <w:tcPr>
                  <w:tcW w:w="1387" w:type="dxa"/>
                  <w:vAlign w:val="center"/>
                </w:tcPr>
                <w:p>
                  <w:pPr>
                    <w:spacing w:line="300" w:lineRule="auto"/>
                    <w:jc w:val="center"/>
                    <w:rPr>
                      <w:szCs w:val="21"/>
                    </w:rPr>
                  </w:pPr>
                  <w:r>
                    <w:rPr>
                      <w:rFonts w:hint="eastAsia"/>
                      <w:szCs w:val="21"/>
                    </w:rPr>
                    <w:t>油罐车</w:t>
                  </w:r>
                </w:p>
              </w:tc>
              <w:tc>
                <w:tcPr>
                  <w:tcW w:w="1779" w:type="dxa"/>
                  <w:vAlign w:val="center"/>
                </w:tcPr>
                <w:p>
                  <w:pPr>
                    <w:spacing w:line="300" w:lineRule="auto"/>
                    <w:jc w:val="center"/>
                    <w:rPr>
                      <w:szCs w:val="21"/>
                    </w:rPr>
                  </w:pPr>
                  <w:r>
                    <w:rPr>
                      <w:rFonts w:hint="eastAsia"/>
                      <w:szCs w:val="21"/>
                    </w:rPr>
                    <w:t>卸油损失</w:t>
                  </w:r>
                </w:p>
              </w:tc>
              <w:tc>
                <w:tcPr>
                  <w:tcW w:w="1303" w:type="dxa"/>
                  <w:vAlign w:val="center"/>
                </w:tcPr>
                <w:p>
                  <w:pPr>
                    <w:spacing w:line="300" w:lineRule="auto"/>
                    <w:jc w:val="center"/>
                    <w:rPr>
                      <w:szCs w:val="21"/>
                    </w:rPr>
                  </w:pPr>
                  <w:r>
                    <w:rPr>
                      <w:rFonts w:hint="eastAsia"/>
                      <w:szCs w:val="21"/>
                    </w:rPr>
                    <w:t>2.3</w:t>
                  </w:r>
                </w:p>
              </w:tc>
              <w:tc>
                <w:tcPr>
                  <w:tcW w:w="1303" w:type="dxa"/>
                  <w:vMerge w:val="continue"/>
                  <w:vAlign w:val="center"/>
                </w:tcPr>
                <w:p>
                  <w:pPr>
                    <w:spacing w:line="300" w:lineRule="auto"/>
                    <w:jc w:val="center"/>
                    <w:rPr>
                      <w:szCs w:val="21"/>
                    </w:rPr>
                  </w:pPr>
                </w:p>
              </w:tc>
              <w:tc>
                <w:tcPr>
                  <w:tcW w:w="1304" w:type="dxa"/>
                  <w:vAlign w:val="center"/>
                </w:tcPr>
                <w:p>
                  <w:pPr>
                    <w:spacing w:line="300" w:lineRule="auto"/>
                    <w:jc w:val="center"/>
                    <w:rPr>
                      <w:szCs w:val="21"/>
                    </w:rPr>
                  </w:pPr>
                  <w:r>
                    <w:rPr>
                      <w:rFonts w:hint="eastAsia"/>
                      <w:szCs w:val="21"/>
                    </w:rPr>
                    <w:t>1840</w:t>
                  </w:r>
                </w:p>
              </w:tc>
              <w:tc>
                <w:tcPr>
                  <w:tcW w:w="1304" w:type="dxa"/>
                  <w:vAlign w:val="center"/>
                </w:tcPr>
                <w:p>
                  <w:pPr>
                    <w:spacing w:line="300" w:lineRule="auto"/>
                    <w:jc w:val="center"/>
                    <w:rPr>
                      <w:szCs w:val="21"/>
                    </w:rPr>
                  </w:pPr>
                  <w:r>
                    <w:rPr>
                      <w:szCs w:val="21"/>
                    </w:rPr>
                    <w:t>92</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742" w:type="dxa"/>
                  <w:vMerge w:val="continue"/>
                  <w:vAlign w:val="center"/>
                </w:tcPr>
                <w:p>
                  <w:pPr>
                    <w:spacing w:line="300" w:lineRule="auto"/>
                    <w:jc w:val="center"/>
                    <w:rPr>
                      <w:szCs w:val="21"/>
                    </w:rPr>
                  </w:pPr>
                </w:p>
              </w:tc>
              <w:tc>
                <w:tcPr>
                  <w:tcW w:w="1387" w:type="dxa"/>
                  <w:vAlign w:val="center"/>
                </w:tcPr>
                <w:p>
                  <w:pPr>
                    <w:spacing w:line="300" w:lineRule="auto"/>
                    <w:jc w:val="center"/>
                    <w:rPr>
                      <w:szCs w:val="21"/>
                    </w:rPr>
                  </w:pPr>
                  <w:r>
                    <w:rPr>
                      <w:rFonts w:hint="eastAsia"/>
                      <w:szCs w:val="21"/>
                    </w:rPr>
                    <w:t>加油岛</w:t>
                  </w:r>
                </w:p>
              </w:tc>
              <w:tc>
                <w:tcPr>
                  <w:tcW w:w="1779" w:type="dxa"/>
                  <w:vAlign w:val="center"/>
                </w:tcPr>
                <w:p>
                  <w:pPr>
                    <w:spacing w:line="300" w:lineRule="auto"/>
                    <w:jc w:val="center"/>
                    <w:rPr>
                      <w:szCs w:val="21"/>
                    </w:rPr>
                  </w:pPr>
                  <w:r>
                    <w:rPr>
                      <w:rFonts w:hint="eastAsia"/>
                      <w:szCs w:val="21"/>
                    </w:rPr>
                    <w:t>加油机作业损失</w:t>
                  </w:r>
                </w:p>
              </w:tc>
              <w:tc>
                <w:tcPr>
                  <w:tcW w:w="1303" w:type="dxa"/>
                  <w:vAlign w:val="center"/>
                </w:tcPr>
                <w:p>
                  <w:pPr>
                    <w:spacing w:line="300" w:lineRule="auto"/>
                    <w:jc w:val="center"/>
                    <w:rPr>
                      <w:szCs w:val="21"/>
                    </w:rPr>
                  </w:pPr>
                  <w:r>
                    <w:rPr>
                      <w:rFonts w:hint="eastAsia"/>
                      <w:szCs w:val="21"/>
                    </w:rPr>
                    <w:t>2.49</w:t>
                  </w:r>
                </w:p>
              </w:tc>
              <w:tc>
                <w:tcPr>
                  <w:tcW w:w="1303" w:type="dxa"/>
                  <w:vMerge w:val="continue"/>
                  <w:vAlign w:val="center"/>
                </w:tcPr>
                <w:p>
                  <w:pPr>
                    <w:spacing w:line="300" w:lineRule="auto"/>
                    <w:jc w:val="center"/>
                    <w:rPr>
                      <w:szCs w:val="21"/>
                    </w:rPr>
                  </w:pPr>
                </w:p>
              </w:tc>
              <w:tc>
                <w:tcPr>
                  <w:tcW w:w="1304" w:type="dxa"/>
                  <w:vAlign w:val="center"/>
                </w:tcPr>
                <w:p>
                  <w:pPr>
                    <w:spacing w:line="300" w:lineRule="auto"/>
                    <w:jc w:val="center"/>
                    <w:rPr>
                      <w:szCs w:val="21"/>
                    </w:rPr>
                  </w:pPr>
                  <w:r>
                    <w:rPr>
                      <w:szCs w:val="21"/>
                    </w:rPr>
                    <w:t>199.2</w:t>
                  </w:r>
                </w:p>
              </w:tc>
              <w:tc>
                <w:tcPr>
                  <w:tcW w:w="1304" w:type="dxa"/>
                  <w:vAlign w:val="center"/>
                </w:tcPr>
                <w:p>
                  <w:pPr>
                    <w:spacing w:line="300" w:lineRule="auto"/>
                    <w:jc w:val="center"/>
                    <w:rPr>
                      <w:szCs w:val="21"/>
                    </w:rPr>
                  </w:pPr>
                  <w:r>
                    <w:rPr>
                      <w:szCs w:val="21"/>
                    </w:rPr>
                    <w:t>199.2</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742" w:type="dxa"/>
                  <w:vMerge w:val="restart"/>
                  <w:vAlign w:val="center"/>
                </w:tcPr>
                <w:p>
                  <w:pPr>
                    <w:spacing w:line="300" w:lineRule="auto"/>
                    <w:jc w:val="center"/>
                    <w:rPr>
                      <w:szCs w:val="21"/>
                    </w:rPr>
                  </w:pPr>
                  <w:r>
                    <w:rPr>
                      <w:rFonts w:hint="eastAsia"/>
                      <w:szCs w:val="21"/>
                    </w:rPr>
                    <w:t>柴油</w:t>
                  </w:r>
                </w:p>
              </w:tc>
              <w:tc>
                <w:tcPr>
                  <w:tcW w:w="1387" w:type="dxa"/>
                  <w:vAlign w:val="center"/>
                </w:tcPr>
                <w:p>
                  <w:pPr>
                    <w:spacing w:line="300" w:lineRule="auto"/>
                    <w:jc w:val="center"/>
                    <w:rPr>
                      <w:szCs w:val="21"/>
                    </w:rPr>
                  </w:pPr>
                  <w:r>
                    <w:rPr>
                      <w:rFonts w:hint="eastAsia"/>
                      <w:szCs w:val="21"/>
                    </w:rPr>
                    <w:t>储油罐</w:t>
                  </w:r>
                </w:p>
              </w:tc>
              <w:tc>
                <w:tcPr>
                  <w:tcW w:w="1779" w:type="dxa"/>
                  <w:vAlign w:val="center"/>
                </w:tcPr>
                <w:p>
                  <w:pPr>
                    <w:spacing w:line="300" w:lineRule="auto"/>
                    <w:jc w:val="center"/>
                    <w:rPr>
                      <w:szCs w:val="21"/>
                    </w:rPr>
                  </w:pPr>
                  <w:r>
                    <w:rPr>
                      <w:rFonts w:hint="eastAsia"/>
                      <w:szCs w:val="21"/>
                    </w:rPr>
                    <w:t>呼吸损失</w:t>
                  </w:r>
                </w:p>
              </w:tc>
              <w:tc>
                <w:tcPr>
                  <w:tcW w:w="1303" w:type="dxa"/>
                  <w:vAlign w:val="center"/>
                </w:tcPr>
                <w:p>
                  <w:pPr>
                    <w:spacing w:line="300" w:lineRule="auto"/>
                    <w:jc w:val="center"/>
                    <w:rPr>
                      <w:szCs w:val="21"/>
                    </w:rPr>
                  </w:pPr>
                  <w:r>
                    <w:rPr>
                      <w:rFonts w:hint="eastAsia"/>
                      <w:szCs w:val="21"/>
                    </w:rPr>
                    <w:t>/</w:t>
                  </w:r>
                </w:p>
              </w:tc>
              <w:tc>
                <w:tcPr>
                  <w:tcW w:w="1303" w:type="dxa"/>
                  <w:vMerge w:val="restart"/>
                  <w:vAlign w:val="center"/>
                </w:tcPr>
                <w:p>
                  <w:pPr>
                    <w:spacing w:line="300" w:lineRule="auto"/>
                    <w:jc w:val="center"/>
                    <w:rPr>
                      <w:szCs w:val="21"/>
                    </w:rPr>
                  </w:pPr>
                  <w:r>
                    <w:rPr>
                      <w:rFonts w:hint="eastAsia"/>
                      <w:szCs w:val="21"/>
                    </w:rPr>
                    <w:t>1000</w:t>
                  </w:r>
                </w:p>
              </w:tc>
              <w:tc>
                <w:tcPr>
                  <w:tcW w:w="1304" w:type="dxa"/>
                  <w:vAlign w:val="center"/>
                </w:tcPr>
                <w:p>
                  <w:pPr>
                    <w:spacing w:line="300" w:lineRule="auto"/>
                    <w:jc w:val="center"/>
                    <w:rPr>
                      <w:szCs w:val="21"/>
                    </w:rPr>
                  </w:pPr>
                  <w:r>
                    <w:rPr>
                      <w:szCs w:val="21"/>
                    </w:rPr>
                    <w:t>0</w:t>
                  </w:r>
                </w:p>
              </w:tc>
              <w:tc>
                <w:tcPr>
                  <w:tcW w:w="1304" w:type="dxa"/>
                  <w:vAlign w:val="center"/>
                </w:tcPr>
                <w:p>
                  <w:pPr>
                    <w:spacing w:line="300" w:lineRule="auto"/>
                    <w:jc w:val="center"/>
                    <w:rPr>
                      <w:szCs w:val="21"/>
                    </w:rPr>
                  </w:pPr>
                  <w:r>
                    <w:rPr>
                      <w:szCs w:val="21"/>
                    </w:rPr>
                    <w:t>0</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742" w:type="dxa"/>
                  <w:vMerge w:val="continue"/>
                  <w:vAlign w:val="center"/>
                </w:tcPr>
                <w:p>
                  <w:pPr>
                    <w:spacing w:line="300" w:lineRule="auto"/>
                    <w:jc w:val="center"/>
                    <w:rPr>
                      <w:szCs w:val="21"/>
                    </w:rPr>
                  </w:pPr>
                </w:p>
              </w:tc>
              <w:tc>
                <w:tcPr>
                  <w:tcW w:w="1387" w:type="dxa"/>
                  <w:vAlign w:val="center"/>
                </w:tcPr>
                <w:p>
                  <w:pPr>
                    <w:spacing w:line="300" w:lineRule="auto"/>
                    <w:jc w:val="center"/>
                    <w:rPr>
                      <w:szCs w:val="21"/>
                    </w:rPr>
                  </w:pPr>
                  <w:r>
                    <w:rPr>
                      <w:rFonts w:hint="eastAsia"/>
                      <w:szCs w:val="21"/>
                    </w:rPr>
                    <w:t>油罐车</w:t>
                  </w:r>
                </w:p>
              </w:tc>
              <w:tc>
                <w:tcPr>
                  <w:tcW w:w="1779" w:type="dxa"/>
                  <w:vAlign w:val="center"/>
                </w:tcPr>
                <w:p>
                  <w:pPr>
                    <w:spacing w:line="300" w:lineRule="auto"/>
                    <w:jc w:val="center"/>
                    <w:rPr>
                      <w:szCs w:val="21"/>
                    </w:rPr>
                  </w:pPr>
                  <w:r>
                    <w:rPr>
                      <w:rFonts w:hint="eastAsia"/>
                      <w:szCs w:val="21"/>
                    </w:rPr>
                    <w:t>卸油损失</w:t>
                  </w:r>
                </w:p>
              </w:tc>
              <w:tc>
                <w:tcPr>
                  <w:tcW w:w="1303" w:type="dxa"/>
                  <w:vAlign w:val="center"/>
                </w:tcPr>
                <w:p>
                  <w:pPr>
                    <w:spacing w:line="300" w:lineRule="auto"/>
                    <w:jc w:val="center"/>
                    <w:rPr>
                      <w:szCs w:val="21"/>
                    </w:rPr>
                  </w:pPr>
                  <w:r>
                    <w:rPr>
                      <w:rFonts w:hint="eastAsia"/>
                      <w:szCs w:val="21"/>
                    </w:rPr>
                    <w:t>0.027</w:t>
                  </w:r>
                </w:p>
              </w:tc>
              <w:tc>
                <w:tcPr>
                  <w:tcW w:w="1303" w:type="dxa"/>
                  <w:vMerge w:val="continue"/>
                  <w:vAlign w:val="center"/>
                </w:tcPr>
                <w:p>
                  <w:pPr>
                    <w:spacing w:line="300" w:lineRule="auto"/>
                    <w:jc w:val="center"/>
                    <w:rPr>
                      <w:szCs w:val="21"/>
                    </w:rPr>
                  </w:pPr>
                </w:p>
              </w:tc>
              <w:tc>
                <w:tcPr>
                  <w:tcW w:w="1304" w:type="dxa"/>
                  <w:vAlign w:val="center"/>
                </w:tcPr>
                <w:p>
                  <w:pPr>
                    <w:spacing w:line="300" w:lineRule="auto"/>
                    <w:jc w:val="center"/>
                    <w:rPr>
                      <w:szCs w:val="21"/>
                    </w:rPr>
                  </w:pPr>
                  <w:r>
                    <w:rPr>
                      <w:szCs w:val="21"/>
                    </w:rPr>
                    <w:t>27</w:t>
                  </w:r>
                </w:p>
              </w:tc>
              <w:tc>
                <w:tcPr>
                  <w:tcW w:w="1304" w:type="dxa"/>
                  <w:vAlign w:val="center"/>
                </w:tcPr>
                <w:p>
                  <w:pPr>
                    <w:spacing w:line="300" w:lineRule="auto"/>
                    <w:jc w:val="center"/>
                    <w:rPr>
                      <w:szCs w:val="21"/>
                    </w:rPr>
                  </w:pPr>
                  <w:r>
                    <w:rPr>
                      <w:szCs w:val="21"/>
                    </w:rPr>
                    <w:t>1.35</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742" w:type="dxa"/>
                  <w:vMerge w:val="continue"/>
                  <w:vAlign w:val="center"/>
                </w:tcPr>
                <w:p>
                  <w:pPr>
                    <w:spacing w:line="300" w:lineRule="auto"/>
                    <w:jc w:val="center"/>
                    <w:rPr>
                      <w:szCs w:val="21"/>
                    </w:rPr>
                  </w:pPr>
                </w:p>
              </w:tc>
              <w:tc>
                <w:tcPr>
                  <w:tcW w:w="1387" w:type="dxa"/>
                  <w:vAlign w:val="center"/>
                </w:tcPr>
                <w:p>
                  <w:pPr>
                    <w:spacing w:line="300" w:lineRule="auto"/>
                    <w:jc w:val="center"/>
                    <w:rPr>
                      <w:szCs w:val="21"/>
                    </w:rPr>
                  </w:pPr>
                  <w:r>
                    <w:rPr>
                      <w:rFonts w:hint="eastAsia"/>
                      <w:szCs w:val="21"/>
                    </w:rPr>
                    <w:t>加油岛</w:t>
                  </w:r>
                </w:p>
              </w:tc>
              <w:tc>
                <w:tcPr>
                  <w:tcW w:w="1779" w:type="dxa"/>
                  <w:vAlign w:val="center"/>
                </w:tcPr>
                <w:p>
                  <w:pPr>
                    <w:spacing w:line="300" w:lineRule="auto"/>
                    <w:jc w:val="center"/>
                    <w:rPr>
                      <w:szCs w:val="21"/>
                    </w:rPr>
                  </w:pPr>
                  <w:r>
                    <w:rPr>
                      <w:rFonts w:hint="eastAsia"/>
                      <w:szCs w:val="21"/>
                    </w:rPr>
                    <w:t>加油机作业损失</w:t>
                  </w:r>
                </w:p>
              </w:tc>
              <w:tc>
                <w:tcPr>
                  <w:tcW w:w="1303" w:type="dxa"/>
                  <w:vAlign w:val="center"/>
                </w:tcPr>
                <w:p>
                  <w:pPr>
                    <w:spacing w:line="300" w:lineRule="auto"/>
                    <w:jc w:val="center"/>
                    <w:rPr>
                      <w:szCs w:val="21"/>
                    </w:rPr>
                  </w:pPr>
                  <w:r>
                    <w:rPr>
                      <w:rFonts w:hint="eastAsia"/>
                      <w:szCs w:val="21"/>
                    </w:rPr>
                    <w:t>0.048</w:t>
                  </w:r>
                </w:p>
              </w:tc>
              <w:tc>
                <w:tcPr>
                  <w:tcW w:w="1303" w:type="dxa"/>
                  <w:vMerge w:val="continue"/>
                  <w:vAlign w:val="center"/>
                </w:tcPr>
                <w:p>
                  <w:pPr>
                    <w:spacing w:line="300" w:lineRule="auto"/>
                    <w:jc w:val="center"/>
                    <w:rPr>
                      <w:szCs w:val="21"/>
                    </w:rPr>
                  </w:pPr>
                </w:p>
              </w:tc>
              <w:tc>
                <w:tcPr>
                  <w:tcW w:w="1304" w:type="dxa"/>
                  <w:vAlign w:val="center"/>
                </w:tcPr>
                <w:p>
                  <w:pPr>
                    <w:spacing w:line="300" w:lineRule="auto"/>
                    <w:jc w:val="center"/>
                    <w:rPr>
                      <w:szCs w:val="21"/>
                    </w:rPr>
                  </w:pPr>
                  <w:r>
                    <w:rPr>
                      <w:szCs w:val="21"/>
                    </w:rPr>
                    <w:t>48</w:t>
                  </w:r>
                </w:p>
              </w:tc>
              <w:tc>
                <w:tcPr>
                  <w:tcW w:w="1304" w:type="dxa"/>
                  <w:vAlign w:val="center"/>
                </w:tcPr>
                <w:p>
                  <w:pPr>
                    <w:spacing w:line="300" w:lineRule="auto"/>
                    <w:jc w:val="center"/>
                    <w:rPr>
                      <w:szCs w:val="21"/>
                    </w:rPr>
                  </w:pPr>
                  <w:r>
                    <w:rPr>
                      <w:szCs w:val="21"/>
                    </w:rPr>
                    <w:t>48</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jc w:val="center"/>
              </w:trPr>
              <w:tc>
                <w:tcPr>
                  <w:tcW w:w="6514" w:type="dxa"/>
                  <w:gridSpan w:val="5"/>
                  <w:vAlign w:val="center"/>
                </w:tcPr>
                <w:p>
                  <w:pPr>
                    <w:spacing w:line="300" w:lineRule="auto"/>
                    <w:jc w:val="center"/>
                    <w:rPr>
                      <w:szCs w:val="21"/>
                    </w:rPr>
                  </w:pPr>
                  <w:r>
                    <w:rPr>
                      <w:rFonts w:hint="eastAsia"/>
                      <w:szCs w:val="21"/>
                    </w:rPr>
                    <w:t xml:space="preserve">合计 </w:t>
                  </w:r>
                </w:p>
              </w:tc>
              <w:tc>
                <w:tcPr>
                  <w:tcW w:w="1304" w:type="dxa"/>
                  <w:vAlign w:val="center"/>
                </w:tcPr>
                <w:p>
                  <w:pPr>
                    <w:spacing w:line="300" w:lineRule="auto"/>
                    <w:jc w:val="center"/>
                    <w:rPr>
                      <w:szCs w:val="21"/>
                    </w:rPr>
                  </w:pPr>
                  <w:r>
                    <w:rPr>
                      <w:szCs w:val="21"/>
                    </w:rPr>
                    <w:t>4035</w:t>
                  </w:r>
                </w:p>
              </w:tc>
              <w:tc>
                <w:tcPr>
                  <w:tcW w:w="1304" w:type="dxa"/>
                  <w:vAlign w:val="center"/>
                </w:tcPr>
                <w:p>
                  <w:pPr>
                    <w:spacing w:line="300" w:lineRule="auto"/>
                    <w:jc w:val="center"/>
                    <w:rPr>
                      <w:szCs w:val="21"/>
                    </w:rPr>
                  </w:pPr>
                  <w:r>
                    <w:rPr>
                      <w:szCs w:val="21"/>
                    </w:rPr>
                    <w:t>468.55</w:t>
                  </w:r>
                </w:p>
              </w:tc>
            </w:tr>
          </w:tbl>
          <w:p>
            <w:pPr>
              <w:spacing w:line="360" w:lineRule="auto"/>
              <w:ind w:firstLine="560" w:firstLineChars="200"/>
              <w:rPr>
                <w:rFonts w:eastAsiaTheme="minorEastAsia"/>
                <w:sz w:val="28"/>
                <w:szCs w:val="28"/>
              </w:rPr>
            </w:pPr>
            <w:r>
              <w:rPr>
                <w:rFonts w:hint="eastAsia" w:eastAsiaTheme="minorEastAsia"/>
                <w:sz w:val="28"/>
                <w:szCs w:val="28"/>
              </w:rPr>
              <w:t>（2） 食堂油烟</w:t>
            </w:r>
          </w:p>
          <w:p>
            <w:pPr>
              <w:spacing w:line="360" w:lineRule="auto"/>
              <w:ind w:firstLine="560" w:firstLineChars="200"/>
              <w:rPr>
                <w:rFonts w:eastAsiaTheme="minorEastAsia"/>
                <w:sz w:val="28"/>
                <w:szCs w:val="28"/>
              </w:rPr>
            </w:pPr>
            <w:r>
              <w:rPr>
                <w:rFonts w:hint="eastAsia" w:eastAsiaTheme="minorEastAsia"/>
                <w:sz w:val="28"/>
                <w:szCs w:val="28"/>
              </w:rPr>
              <w:t>本项目劳动定员 8人，实行3班工作制，每班工作8h；年生产天数365天。有食堂，食堂基准灶头数1个，每人每天提供3餐计。</w:t>
            </w:r>
          </w:p>
          <w:p>
            <w:pPr>
              <w:spacing w:line="360" w:lineRule="auto"/>
              <w:ind w:firstLine="560" w:firstLineChars="200"/>
              <w:rPr>
                <w:rFonts w:eastAsiaTheme="minorEastAsia"/>
                <w:sz w:val="28"/>
                <w:szCs w:val="28"/>
              </w:rPr>
            </w:pPr>
            <w:r>
              <w:rPr>
                <w:rFonts w:hint="eastAsia" w:eastAsiaTheme="minorEastAsia"/>
                <w:sz w:val="28"/>
                <w:szCs w:val="28"/>
              </w:rPr>
              <w:t>本项目食堂设1个基准灶头，可满足8人用餐，每天运行4h，食用油用量平均按 0.02kg/人•天计，一般油烟挥发量占总耗油量的2～4%，平均为3%，则油烟产生量约为1.75 kg/a。厨房安装净化效率不低于60%的油烟净化装置，经处理后油烟排放量为0.70 kg/a；</w:t>
            </w:r>
            <w:r>
              <w:rPr>
                <w:rFonts w:hint="eastAsia" w:eastAsiaTheme="minorEastAsia"/>
                <w:color w:val="FF0000"/>
                <w:sz w:val="28"/>
                <w:szCs w:val="28"/>
              </w:rPr>
              <w:t>项目设置排烟罩收集油烟净化器进行处理，,风机风量 3000m</w:t>
            </w:r>
            <w:r>
              <w:rPr>
                <w:rFonts w:hint="eastAsia" w:eastAsiaTheme="minorEastAsia"/>
                <w:color w:val="FF0000"/>
                <w:sz w:val="28"/>
                <w:szCs w:val="28"/>
                <w:vertAlign w:val="superscript"/>
              </w:rPr>
              <w:t>3</w:t>
            </w:r>
            <w:r>
              <w:rPr>
                <w:rFonts w:hint="eastAsia" w:eastAsiaTheme="minorEastAsia"/>
                <w:color w:val="FF0000"/>
                <w:sz w:val="28"/>
                <w:szCs w:val="28"/>
              </w:rPr>
              <w:t>/h</w:t>
            </w:r>
            <w:r>
              <w:rPr>
                <w:rFonts w:hint="eastAsia" w:eastAsiaTheme="minorEastAsia"/>
                <w:sz w:val="28"/>
                <w:szCs w:val="28"/>
              </w:rPr>
              <w:t>，项目产生浓度为0.40 mg/m</w:t>
            </w:r>
            <w:r>
              <w:rPr>
                <w:rFonts w:hint="eastAsia" w:eastAsiaTheme="minorEastAsia"/>
                <w:sz w:val="28"/>
                <w:szCs w:val="28"/>
                <w:vertAlign w:val="superscript"/>
              </w:rPr>
              <w:t>3</w:t>
            </w:r>
            <w:r>
              <w:rPr>
                <w:rFonts w:hint="eastAsia" w:eastAsiaTheme="minorEastAsia"/>
                <w:sz w:val="28"/>
                <w:szCs w:val="28"/>
              </w:rPr>
              <w:t>，排放浓度为0.16 mg/m</w:t>
            </w:r>
            <w:r>
              <w:rPr>
                <w:rFonts w:hint="eastAsia" w:eastAsiaTheme="minorEastAsia"/>
                <w:sz w:val="28"/>
                <w:szCs w:val="28"/>
                <w:vertAlign w:val="superscript"/>
              </w:rPr>
              <w:t>3</w:t>
            </w:r>
            <w:r>
              <w:rPr>
                <w:rFonts w:hint="eastAsia" w:eastAsiaTheme="minorEastAsia"/>
                <w:sz w:val="28"/>
                <w:szCs w:val="28"/>
              </w:rPr>
              <w:t>，满足《饮食业油烟排放标准（试行）》（GB18483-2001）小型饮食业排放要求。能够实现达标排放。本项目油烟设有专用的独立排烟通道，烟道出口高于楼顶排放。</w:t>
            </w:r>
          </w:p>
          <w:p>
            <w:pPr>
              <w:spacing w:line="360" w:lineRule="auto"/>
              <w:jc w:val="center"/>
              <w:rPr>
                <w:b/>
                <w:sz w:val="24"/>
                <w:szCs w:val="24"/>
              </w:rPr>
            </w:pPr>
            <w:r>
              <w:rPr>
                <w:b/>
                <w:sz w:val="24"/>
                <w:szCs w:val="24"/>
              </w:rPr>
              <w:t>表</w:t>
            </w:r>
            <w:r>
              <w:rPr>
                <w:rFonts w:hint="eastAsia"/>
                <w:b/>
                <w:sz w:val="24"/>
                <w:szCs w:val="24"/>
              </w:rPr>
              <w:t>28</w:t>
            </w:r>
            <w:r>
              <w:rPr>
                <w:b/>
                <w:sz w:val="24"/>
                <w:szCs w:val="24"/>
              </w:rPr>
              <w:t xml:space="preserve">    本项目有组织废气污染物产生及排放情况汇总</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14"/>
              <w:gridCol w:w="613"/>
              <w:gridCol w:w="768"/>
              <w:gridCol w:w="613"/>
              <w:gridCol w:w="564"/>
              <w:gridCol w:w="697"/>
              <w:gridCol w:w="930"/>
              <w:gridCol w:w="615"/>
              <w:gridCol w:w="617"/>
              <w:gridCol w:w="715"/>
              <w:gridCol w:w="697"/>
              <w:gridCol w:w="812"/>
              <w:gridCol w:w="86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restart"/>
                  <w:vAlign w:val="center"/>
                </w:tcPr>
                <w:p>
                  <w:pPr>
                    <w:jc w:val="center"/>
                    <w:rPr>
                      <w:kern w:val="0"/>
                      <w:sz w:val="15"/>
                      <w:szCs w:val="15"/>
                    </w:rPr>
                  </w:pPr>
                  <w:r>
                    <w:rPr>
                      <w:kern w:val="0"/>
                      <w:sz w:val="15"/>
                      <w:szCs w:val="15"/>
                    </w:rPr>
                    <w:t>来源</w:t>
                  </w:r>
                </w:p>
              </w:tc>
              <w:tc>
                <w:tcPr>
                  <w:tcW w:w="336" w:type="pct"/>
                  <w:vMerge w:val="restart"/>
                  <w:vAlign w:val="center"/>
                </w:tcPr>
                <w:p>
                  <w:pPr>
                    <w:jc w:val="center"/>
                    <w:rPr>
                      <w:kern w:val="0"/>
                      <w:sz w:val="15"/>
                      <w:szCs w:val="15"/>
                    </w:rPr>
                  </w:pPr>
                  <w:r>
                    <w:rPr>
                      <w:kern w:val="0"/>
                      <w:sz w:val="15"/>
                      <w:szCs w:val="15"/>
                    </w:rPr>
                    <w:t>废气编号</w:t>
                  </w:r>
                </w:p>
              </w:tc>
              <w:tc>
                <w:tcPr>
                  <w:tcW w:w="421" w:type="pct"/>
                  <w:vMerge w:val="restart"/>
                  <w:vAlign w:val="center"/>
                </w:tcPr>
                <w:p>
                  <w:pPr>
                    <w:jc w:val="center"/>
                    <w:rPr>
                      <w:kern w:val="0"/>
                      <w:sz w:val="15"/>
                      <w:szCs w:val="15"/>
                    </w:rPr>
                  </w:pPr>
                  <w:r>
                    <w:rPr>
                      <w:kern w:val="0"/>
                      <w:sz w:val="15"/>
                      <w:szCs w:val="15"/>
                    </w:rPr>
                    <w:t>污染源名称</w:t>
                  </w:r>
                </w:p>
              </w:tc>
              <w:tc>
                <w:tcPr>
                  <w:tcW w:w="336" w:type="pct"/>
                  <w:vMerge w:val="restart"/>
                  <w:vAlign w:val="center"/>
                </w:tcPr>
                <w:p>
                  <w:pPr>
                    <w:jc w:val="center"/>
                    <w:rPr>
                      <w:kern w:val="0"/>
                      <w:sz w:val="15"/>
                      <w:szCs w:val="15"/>
                    </w:rPr>
                  </w:pPr>
                  <w:r>
                    <w:rPr>
                      <w:kern w:val="0"/>
                      <w:sz w:val="15"/>
                      <w:szCs w:val="15"/>
                    </w:rPr>
                    <w:t>污染物名称</w:t>
                  </w:r>
                </w:p>
              </w:tc>
              <w:tc>
                <w:tcPr>
                  <w:tcW w:w="1201" w:type="pct"/>
                  <w:gridSpan w:val="3"/>
                  <w:vAlign w:val="center"/>
                </w:tcPr>
                <w:p>
                  <w:pPr>
                    <w:jc w:val="center"/>
                    <w:rPr>
                      <w:kern w:val="0"/>
                      <w:sz w:val="15"/>
                      <w:szCs w:val="15"/>
                    </w:rPr>
                  </w:pPr>
                  <w:r>
                    <w:rPr>
                      <w:kern w:val="0"/>
                      <w:sz w:val="15"/>
                      <w:szCs w:val="15"/>
                    </w:rPr>
                    <w:t>污染物产生量</w:t>
                  </w:r>
                </w:p>
              </w:tc>
              <w:tc>
                <w:tcPr>
                  <w:tcW w:w="675" w:type="pct"/>
                  <w:gridSpan w:val="2"/>
                  <w:vAlign w:val="center"/>
                </w:tcPr>
                <w:p>
                  <w:pPr>
                    <w:jc w:val="center"/>
                    <w:rPr>
                      <w:kern w:val="0"/>
                      <w:sz w:val="15"/>
                      <w:szCs w:val="15"/>
                    </w:rPr>
                  </w:pPr>
                  <w:r>
                    <w:rPr>
                      <w:kern w:val="0"/>
                      <w:sz w:val="15"/>
                      <w:szCs w:val="15"/>
                    </w:rPr>
                    <w:t>治理措施</w:t>
                  </w:r>
                </w:p>
              </w:tc>
              <w:tc>
                <w:tcPr>
                  <w:tcW w:w="1219" w:type="pct"/>
                  <w:gridSpan w:val="3"/>
                  <w:vAlign w:val="center"/>
                </w:tcPr>
                <w:p>
                  <w:pPr>
                    <w:jc w:val="center"/>
                    <w:rPr>
                      <w:kern w:val="0"/>
                      <w:sz w:val="15"/>
                      <w:szCs w:val="15"/>
                    </w:rPr>
                  </w:pPr>
                  <w:r>
                    <w:rPr>
                      <w:kern w:val="0"/>
                      <w:sz w:val="15"/>
                      <w:szCs w:val="15"/>
                    </w:rPr>
                    <w:t>污染物排放量</w:t>
                  </w:r>
                </w:p>
              </w:tc>
              <w:tc>
                <w:tcPr>
                  <w:tcW w:w="476" w:type="pct"/>
                  <w:vMerge w:val="restart"/>
                  <w:vAlign w:val="center"/>
                </w:tcPr>
                <w:p>
                  <w:pPr>
                    <w:jc w:val="center"/>
                    <w:rPr>
                      <w:kern w:val="0"/>
                      <w:sz w:val="15"/>
                      <w:szCs w:val="15"/>
                    </w:rPr>
                  </w:pPr>
                  <w:r>
                    <w:rPr>
                      <w:kern w:val="0"/>
                      <w:sz w:val="15"/>
                      <w:szCs w:val="15"/>
                    </w:rPr>
                    <w:t>排放时间/h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Merge w:val="continue"/>
                  <w:vAlign w:val="center"/>
                </w:tcPr>
                <w:p>
                  <w:pPr>
                    <w:jc w:val="center"/>
                    <w:rPr>
                      <w:kern w:val="0"/>
                      <w:sz w:val="15"/>
                      <w:szCs w:val="15"/>
                    </w:rPr>
                  </w:pPr>
                </w:p>
              </w:tc>
              <w:tc>
                <w:tcPr>
                  <w:tcW w:w="336" w:type="pct"/>
                  <w:vMerge w:val="continue"/>
                  <w:vAlign w:val="center"/>
                </w:tcPr>
                <w:p>
                  <w:pPr>
                    <w:jc w:val="center"/>
                    <w:rPr>
                      <w:kern w:val="0"/>
                      <w:sz w:val="15"/>
                      <w:szCs w:val="15"/>
                    </w:rPr>
                  </w:pPr>
                </w:p>
              </w:tc>
              <w:tc>
                <w:tcPr>
                  <w:tcW w:w="421" w:type="pct"/>
                  <w:vMerge w:val="continue"/>
                  <w:vAlign w:val="center"/>
                </w:tcPr>
                <w:p>
                  <w:pPr>
                    <w:jc w:val="center"/>
                    <w:rPr>
                      <w:kern w:val="0"/>
                      <w:sz w:val="15"/>
                      <w:szCs w:val="15"/>
                    </w:rPr>
                  </w:pPr>
                </w:p>
              </w:tc>
              <w:tc>
                <w:tcPr>
                  <w:tcW w:w="336" w:type="pct"/>
                  <w:vMerge w:val="continue"/>
                  <w:vAlign w:val="center"/>
                </w:tcPr>
                <w:p>
                  <w:pPr>
                    <w:jc w:val="center"/>
                    <w:rPr>
                      <w:kern w:val="0"/>
                      <w:sz w:val="15"/>
                      <w:szCs w:val="15"/>
                    </w:rPr>
                  </w:pPr>
                </w:p>
              </w:tc>
              <w:tc>
                <w:tcPr>
                  <w:tcW w:w="309" w:type="pct"/>
                  <w:vAlign w:val="center"/>
                </w:tcPr>
                <w:p>
                  <w:pPr>
                    <w:jc w:val="center"/>
                    <w:rPr>
                      <w:kern w:val="0"/>
                      <w:sz w:val="15"/>
                      <w:szCs w:val="15"/>
                    </w:rPr>
                  </w:pPr>
                  <w:r>
                    <w:rPr>
                      <w:kern w:val="0"/>
                      <w:sz w:val="15"/>
                      <w:szCs w:val="15"/>
                    </w:rPr>
                    <w:t>核算</w:t>
                  </w:r>
                </w:p>
                <w:p>
                  <w:pPr>
                    <w:jc w:val="center"/>
                    <w:rPr>
                      <w:kern w:val="0"/>
                      <w:sz w:val="15"/>
                      <w:szCs w:val="15"/>
                    </w:rPr>
                  </w:pPr>
                  <w:r>
                    <w:rPr>
                      <w:kern w:val="0"/>
                      <w:sz w:val="15"/>
                      <w:szCs w:val="15"/>
                    </w:rPr>
                    <w:t>方法</w:t>
                  </w:r>
                </w:p>
              </w:tc>
              <w:tc>
                <w:tcPr>
                  <w:tcW w:w="382" w:type="pct"/>
                  <w:vAlign w:val="center"/>
                </w:tcPr>
                <w:p>
                  <w:pPr>
                    <w:jc w:val="center"/>
                    <w:rPr>
                      <w:kern w:val="0"/>
                      <w:sz w:val="15"/>
                      <w:szCs w:val="15"/>
                    </w:rPr>
                  </w:pPr>
                  <w:r>
                    <w:rPr>
                      <w:kern w:val="0"/>
                      <w:sz w:val="15"/>
                      <w:szCs w:val="15"/>
                    </w:rPr>
                    <w:t>浓度mg/m</w:t>
                  </w:r>
                  <w:r>
                    <w:rPr>
                      <w:kern w:val="0"/>
                      <w:sz w:val="15"/>
                      <w:szCs w:val="15"/>
                      <w:vertAlign w:val="superscript"/>
                    </w:rPr>
                    <w:t>3</w:t>
                  </w:r>
                </w:p>
              </w:tc>
              <w:tc>
                <w:tcPr>
                  <w:tcW w:w="510" w:type="pct"/>
                  <w:vAlign w:val="center"/>
                </w:tcPr>
                <w:p>
                  <w:pPr>
                    <w:jc w:val="center"/>
                    <w:rPr>
                      <w:kern w:val="0"/>
                      <w:sz w:val="15"/>
                      <w:szCs w:val="15"/>
                    </w:rPr>
                  </w:pPr>
                  <w:r>
                    <w:rPr>
                      <w:kern w:val="0"/>
                      <w:sz w:val="15"/>
                      <w:szCs w:val="15"/>
                    </w:rPr>
                    <w:t>产生量</w:t>
                  </w:r>
                </w:p>
                <w:p>
                  <w:pPr>
                    <w:jc w:val="center"/>
                    <w:rPr>
                      <w:kern w:val="0"/>
                      <w:sz w:val="15"/>
                      <w:szCs w:val="15"/>
                    </w:rPr>
                  </w:pPr>
                  <w:r>
                    <w:rPr>
                      <w:kern w:val="0"/>
                      <w:sz w:val="15"/>
                      <w:szCs w:val="15"/>
                    </w:rPr>
                    <w:t>kg/h</w:t>
                  </w:r>
                </w:p>
              </w:tc>
              <w:tc>
                <w:tcPr>
                  <w:tcW w:w="337" w:type="pct"/>
                  <w:vAlign w:val="center"/>
                </w:tcPr>
                <w:p>
                  <w:pPr>
                    <w:jc w:val="center"/>
                    <w:rPr>
                      <w:kern w:val="0"/>
                      <w:sz w:val="15"/>
                      <w:szCs w:val="15"/>
                    </w:rPr>
                  </w:pPr>
                  <w:r>
                    <w:rPr>
                      <w:kern w:val="0"/>
                      <w:sz w:val="15"/>
                      <w:szCs w:val="15"/>
                    </w:rPr>
                    <w:t>工艺</w:t>
                  </w:r>
                </w:p>
              </w:tc>
              <w:tc>
                <w:tcPr>
                  <w:tcW w:w="338" w:type="pct"/>
                  <w:vAlign w:val="center"/>
                </w:tcPr>
                <w:p>
                  <w:pPr>
                    <w:jc w:val="center"/>
                    <w:rPr>
                      <w:kern w:val="0"/>
                      <w:sz w:val="15"/>
                      <w:szCs w:val="15"/>
                    </w:rPr>
                  </w:pPr>
                  <w:r>
                    <w:rPr>
                      <w:kern w:val="0"/>
                      <w:sz w:val="15"/>
                      <w:szCs w:val="15"/>
                    </w:rPr>
                    <w:t>效率</w:t>
                  </w:r>
                </w:p>
                <w:p>
                  <w:pPr>
                    <w:jc w:val="center"/>
                    <w:rPr>
                      <w:kern w:val="0"/>
                      <w:sz w:val="15"/>
                      <w:szCs w:val="15"/>
                    </w:rPr>
                  </w:pPr>
                  <w:r>
                    <w:rPr>
                      <w:kern w:val="0"/>
                      <w:sz w:val="15"/>
                      <w:szCs w:val="15"/>
                    </w:rPr>
                    <w:t>%</w:t>
                  </w:r>
                </w:p>
              </w:tc>
              <w:tc>
                <w:tcPr>
                  <w:tcW w:w="392" w:type="pct"/>
                  <w:vAlign w:val="center"/>
                </w:tcPr>
                <w:p>
                  <w:pPr>
                    <w:jc w:val="center"/>
                    <w:rPr>
                      <w:kern w:val="0"/>
                      <w:sz w:val="15"/>
                      <w:szCs w:val="15"/>
                    </w:rPr>
                  </w:pPr>
                  <w:r>
                    <w:rPr>
                      <w:kern w:val="0"/>
                      <w:sz w:val="15"/>
                      <w:szCs w:val="15"/>
                    </w:rPr>
                    <w:t>核算</w:t>
                  </w:r>
                </w:p>
                <w:p>
                  <w:pPr>
                    <w:jc w:val="center"/>
                    <w:rPr>
                      <w:kern w:val="0"/>
                      <w:sz w:val="15"/>
                      <w:szCs w:val="15"/>
                      <w:highlight w:val="yellow"/>
                    </w:rPr>
                  </w:pPr>
                  <w:r>
                    <w:rPr>
                      <w:kern w:val="0"/>
                      <w:sz w:val="15"/>
                      <w:szCs w:val="15"/>
                    </w:rPr>
                    <w:t>方法</w:t>
                  </w:r>
                </w:p>
              </w:tc>
              <w:tc>
                <w:tcPr>
                  <w:tcW w:w="382" w:type="pct"/>
                  <w:vAlign w:val="center"/>
                </w:tcPr>
                <w:p>
                  <w:pPr>
                    <w:jc w:val="center"/>
                    <w:rPr>
                      <w:kern w:val="0"/>
                      <w:sz w:val="15"/>
                      <w:szCs w:val="15"/>
                    </w:rPr>
                  </w:pPr>
                  <w:r>
                    <w:rPr>
                      <w:kern w:val="0"/>
                      <w:sz w:val="15"/>
                      <w:szCs w:val="15"/>
                    </w:rPr>
                    <w:t>浓度</w:t>
                  </w:r>
                </w:p>
                <w:p>
                  <w:pPr>
                    <w:jc w:val="center"/>
                    <w:rPr>
                      <w:kern w:val="0"/>
                      <w:sz w:val="15"/>
                      <w:szCs w:val="15"/>
                    </w:rPr>
                  </w:pPr>
                  <w:r>
                    <w:rPr>
                      <w:kern w:val="0"/>
                      <w:sz w:val="15"/>
                      <w:szCs w:val="15"/>
                    </w:rPr>
                    <w:t>mg/m</w:t>
                  </w:r>
                  <w:r>
                    <w:rPr>
                      <w:kern w:val="0"/>
                      <w:sz w:val="15"/>
                      <w:szCs w:val="15"/>
                      <w:vertAlign w:val="superscript"/>
                    </w:rPr>
                    <w:t>3</w:t>
                  </w:r>
                </w:p>
              </w:tc>
              <w:tc>
                <w:tcPr>
                  <w:tcW w:w="444" w:type="pct"/>
                  <w:vAlign w:val="center"/>
                </w:tcPr>
                <w:p>
                  <w:pPr>
                    <w:jc w:val="center"/>
                    <w:rPr>
                      <w:kern w:val="0"/>
                      <w:sz w:val="15"/>
                      <w:szCs w:val="15"/>
                    </w:rPr>
                  </w:pPr>
                  <w:r>
                    <w:rPr>
                      <w:kern w:val="0"/>
                      <w:sz w:val="15"/>
                      <w:szCs w:val="15"/>
                    </w:rPr>
                    <w:t>排放量</w:t>
                  </w:r>
                </w:p>
                <w:p>
                  <w:pPr>
                    <w:jc w:val="center"/>
                    <w:rPr>
                      <w:kern w:val="0"/>
                      <w:sz w:val="15"/>
                      <w:szCs w:val="15"/>
                    </w:rPr>
                  </w:pPr>
                  <w:r>
                    <w:rPr>
                      <w:kern w:val="0"/>
                      <w:sz w:val="15"/>
                      <w:szCs w:val="15"/>
                    </w:rPr>
                    <w:t>kg/h</w:t>
                  </w:r>
                </w:p>
              </w:tc>
              <w:tc>
                <w:tcPr>
                  <w:tcW w:w="476" w:type="pct"/>
                  <w:vMerge w:val="continue"/>
                  <w:vAlign w:val="center"/>
                </w:tcPr>
                <w:p>
                  <w:pPr>
                    <w:jc w:val="center"/>
                    <w:rPr>
                      <w:kern w:val="0"/>
                      <w:sz w:val="15"/>
                      <w:szCs w:val="15"/>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37" w:type="pct"/>
                  <w:vAlign w:val="center"/>
                </w:tcPr>
                <w:p>
                  <w:pPr>
                    <w:jc w:val="center"/>
                    <w:rPr>
                      <w:kern w:val="0"/>
                      <w:sz w:val="15"/>
                      <w:szCs w:val="15"/>
                    </w:rPr>
                  </w:pPr>
                  <w:r>
                    <w:rPr>
                      <w:rFonts w:hint="eastAsia"/>
                      <w:kern w:val="0"/>
                      <w:sz w:val="15"/>
                      <w:szCs w:val="15"/>
                    </w:rPr>
                    <w:t>食堂</w:t>
                  </w:r>
                </w:p>
              </w:tc>
              <w:tc>
                <w:tcPr>
                  <w:tcW w:w="336" w:type="pct"/>
                  <w:vAlign w:val="center"/>
                </w:tcPr>
                <w:p>
                  <w:pPr>
                    <w:jc w:val="center"/>
                    <w:rPr>
                      <w:kern w:val="0"/>
                      <w:sz w:val="15"/>
                      <w:szCs w:val="15"/>
                    </w:rPr>
                  </w:pPr>
                  <w:r>
                    <w:rPr>
                      <w:rFonts w:hint="eastAsia"/>
                      <w:kern w:val="0"/>
                      <w:sz w:val="15"/>
                      <w:szCs w:val="15"/>
                    </w:rPr>
                    <w:t>1#</w:t>
                  </w:r>
                </w:p>
              </w:tc>
              <w:tc>
                <w:tcPr>
                  <w:tcW w:w="421" w:type="pct"/>
                  <w:vAlign w:val="center"/>
                </w:tcPr>
                <w:p>
                  <w:pPr>
                    <w:jc w:val="center"/>
                    <w:rPr>
                      <w:kern w:val="0"/>
                      <w:sz w:val="15"/>
                      <w:szCs w:val="15"/>
                    </w:rPr>
                  </w:pPr>
                  <w:r>
                    <w:rPr>
                      <w:rFonts w:hint="eastAsia"/>
                      <w:kern w:val="0"/>
                      <w:sz w:val="15"/>
                      <w:szCs w:val="15"/>
                    </w:rPr>
                    <w:t>烹饪设备</w:t>
                  </w:r>
                </w:p>
              </w:tc>
              <w:tc>
                <w:tcPr>
                  <w:tcW w:w="336" w:type="pct"/>
                  <w:vAlign w:val="center"/>
                </w:tcPr>
                <w:p>
                  <w:pPr>
                    <w:pStyle w:val="153"/>
                    <w:rPr>
                      <w:rFonts w:hAnsi="Times New Roman"/>
                      <w:sz w:val="15"/>
                      <w:szCs w:val="15"/>
                    </w:rPr>
                  </w:pPr>
                  <w:r>
                    <w:rPr>
                      <w:rFonts w:hint="eastAsia" w:hAnsi="Times New Roman"/>
                      <w:sz w:val="15"/>
                      <w:szCs w:val="15"/>
                    </w:rPr>
                    <w:t>油烟</w:t>
                  </w:r>
                </w:p>
              </w:tc>
              <w:tc>
                <w:tcPr>
                  <w:tcW w:w="309" w:type="pct"/>
                  <w:vAlign w:val="center"/>
                </w:tcPr>
                <w:p>
                  <w:pPr>
                    <w:jc w:val="center"/>
                    <w:rPr>
                      <w:kern w:val="0"/>
                      <w:sz w:val="15"/>
                      <w:szCs w:val="15"/>
                    </w:rPr>
                  </w:pPr>
                  <w:r>
                    <w:rPr>
                      <w:kern w:val="0"/>
                      <w:sz w:val="15"/>
                      <w:szCs w:val="15"/>
                    </w:rPr>
                    <w:t>物料衡算</w:t>
                  </w:r>
                </w:p>
              </w:tc>
              <w:tc>
                <w:tcPr>
                  <w:tcW w:w="382" w:type="pct"/>
                  <w:vAlign w:val="center"/>
                </w:tcPr>
                <w:p>
                  <w:pPr>
                    <w:jc w:val="center"/>
                    <w:rPr>
                      <w:rFonts w:ascii="宋体" w:hAnsi="宋体" w:cs="宋体"/>
                      <w:sz w:val="15"/>
                      <w:szCs w:val="15"/>
                    </w:rPr>
                  </w:pPr>
                  <w:r>
                    <w:rPr>
                      <w:rFonts w:hint="eastAsia" w:ascii="宋体" w:hAnsi="宋体" w:cs="宋体"/>
                      <w:sz w:val="15"/>
                      <w:szCs w:val="15"/>
                    </w:rPr>
                    <w:t>0.40</w:t>
                  </w:r>
                </w:p>
              </w:tc>
              <w:tc>
                <w:tcPr>
                  <w:tcW w:w="510" w:type="pct"/>
                  <w:vAlign w:val="center"/>
                </w:tcPr>
                <w:p>
                  <w:pPr>
                    <w:jc w:val="center"/>
                    <w:rPr>
                      <w:rFonts w:ascii="宋体" w:hAnsi="宋体" w:cs="宋体"/>
                      <w:sz w:val="15"/>
                      <w:szCs w:val="15"/>
                    </w:rPr>
                  </w:pPr>
                  <w:r>
                    <w:rPr>
                      <w:rFonts w:hint="eastAsia" w:ascii="宋体" w:hAnsi="宋体" w:cs="宋体"/>
                      <w:sz w:val="15"/>
                      <w:szCs w:val="15"/>
                    </w:rPr>
                    <w:t>0.0012</w:t>
                  </w:r>
                </w:p>
              </w:tc>
              <w:tc>
                <w:tcPr>
                  <w:tcW w:w="337" w:type="pct"/>
                  <w:vAlign w:val="center"/>
                </w:tcPr>
                <w:p>
                  <w:pPr>
                    <w:jc w:val="center"/>
                    <w:rPr>
                      <w:kern w:val="0"/>
                      <w:sz w:val="15"/>
                      <w:szCs w:val="15"/>
                    </w:rPr>
                  </w:pPr>
                  <w:r>
                    <w:rPr>
                      <w:rFonts w:hint="eastAsia"/>
                      <w:kern w:val="0"/>
                      <w:sz w:val="15"/>
                      <w:szCs w:val="15"/>
                    </w:rPr>
                    <w:t>油烟净化器</w:t>
                  </w:r>
                </w:p>
              </w:tc>
              <w:tc>
                <w:tcPr>
                  <w:tcW w:w="338" w:type="pct"/>
                  <w:vAlign w:val="center"/>
                </w:tcPr>
                <w:p>
                  <w:pPr>
                    <w:jc w:val="center"/>
                    <w:rPr>
                      <w:kern w:val="0"/>
                      <w:sz w:val="15"/>
                      <w:szCs w:val="15"/>
                    </w:rPr>
                  </w:pPr>
                  <w:r>
                    <w:rPr>
                      <w:rFonts w:hint="eastAsia"/>
                      <w:kern w:val="0"/>
                      <w:sz w:val="15"/>
                      <w:szCs w:val="15"/>
                    </w:rPr>
                    <w:t>60</w:t>
                  </w:r>
                </w:p>
              </w:tc>
              <w:tc>
                <w:tcPr>
                  <w:tcW w:w="392" w:type="pct"/>
                  <w:vAlign w:val="center"/>
                </w:tcPr>
                <w:p>
                  <w:pPr>
                    <w:jc w:val="center"/>
                    <w:rPr>
                      <w:kern w:val="0"/>
                      <w:sz w:val="15"/>
                      <w:szCs w:val="15"/>
                    </w:rPr>
                  </w:pPr>
                </w:p>
              </w:tc>
              <w:tc>
                <w:tcPr>
                  <w:tcW w:w="382" w:type="pct"/>
                  <w:vAlign w:val="center"/>
                </w:tcPr>
                <w:p>
                  <w:pPr>
                    <w:jc w:val="center"/>
                    <w:rPr>
                      <w:rFonts w:ascii="宋体" w:hAnsi="宋体" w:cs="宋体"/>
                      <w:sz w:val="15"/>
                      <w:szCs w:val="15"/>
                    </w:rPr>
                  </w:pPr>
                  <w:r>
                    <w:rPr>
                      <w:rFonts w:hint="eastAsia" w:ascii="宋体" w:hAnsi="宋体" w:cs="宋体"/>
                      <w:sz w:val="15"/>
                      <w:szCs w:val="15"/>
                    </w:rPr>
                    <w:t>0.16</w:t>
                  </w:r>
                </w:p>
              </w:tc>
              <w:tc>
                <w:tcPr>
                  <w:tcW w:w="444" w:type="pct"/>
                  <w:vAlign w:val="center"/>
                </w:tcPr>
                <w:p>
                  <w:pPr>
                    <w:jc w:val="center"/>
                    <w:rPr>
                      <w:rFonts w:ascii="宋体" w:hAnsi="宋体" w:cs="宋体"/>
                      <w:sz w:val="15"/>
                      <w:szCs w:val="15"/>
                    </w:rPr>
                  </w:pPr>
                  <w:r>
                    <w:rPr>
                      <w:rFonts w:hint="eastAsia" w:ascii="宋体" w:hAnsi="宋体" w:cs="宋体"/>
                      <w:sz w:val="15"/>
                      <w:szCs w:val="15"/>
                    </w:rPr>
                    <w:t>0.00048</w:t>
                  </w:r>
                </w:p>
              </w:tc>
              <w:tc>
                <w:tcPr>
                  <w:tcW w:w="476" w:type="pct"/>
                  <w:vAlign w:val="center"/>
                </w:tcPr>
                <w:p>
                  <w:pPr>
                    <w:jc w:val="center"/>
                    <w:rPr>
                      <w:kern w:val="0"/>
                      <w:sz w:val="15"/>
                      <w:szCs w:val="15"/>
                    </w:rPr>
                  </w:pPr>
                  <w:r>
                    <w:rPr>
                      <w:rFonts w:hint="eastAsia"/>
                      <w:kern w:val="0"/>
                      <w:sz w:val="15"/>
                      <w:szCs w:val="15"/>
                    </w:rPr>
                    <w:t>1460</w:t>
                  </w:r>
                </w:p>
              </w:tc>
            </w:tr>
          </w:tbl>
          <w:p>
            <w:pPr>
              <w:spacing w:line="360" w:lineRule="auto"/>
              <w:jc w:val="center"/>
              <w:rPr>
                <w:rFonts w:ascii="Times New Roman" w:hAnsi="Times New Roman" w:eastAsiaTheme="minorEastAsia"/>
                <w:b/>
                <w:sz w:val="24"/>
                <w:szCs w:val="24"/>
              </w:rPr>
            </w:pPr>
            <w:r>
              <w:rPr>
                <w:rFonts w:ascii="Times New Roman" w:hAnsi="Times New Roman" w:eastAsiaTheme="minorEastAsia"/>
                <w:b/>
                <w:sz w:val="24"/>
                <w:szCs w:val="24"/>
              </w:rPr>
              <w:t>表</w:t>
            </w:r>
            <w:r>
              <w:rPr>
                <w:rFonts w:hint="eastAsia" w:ascii="Times New Roman" w:hAnsi="Times New Roman" w:eastAsiaTheme="minorEastAsia"/>
                <w:b/>
                <w:sz w:val="24"/>
                <w:szCs w:val="24"/>
              </w:rPr>
              <w:t xml:space="preserve">29 </w:t>
            </w:r>
            <w:r>
              <w:rPr>
                <w:rFonts w:ascii="Times New Roman" w:hAnsi="Times New Roman" w:eastAsiaTheme="minorEastAsia"/>
                <w:b/>
                <w:sz w:val="24"/>
                <w:szCs w:val="24"/>
              </w:rPr>
              <w:t xml:space="preserve">    本项目无组织废气污染物产生及排放情况汇总</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659"/>
              <w:gridCol w:w="660"/>
              <w:gridCol w:w="779"/>
              <w:gridCol w:w="777"/>
              <w:gridCol w:w="743"/>
              <w:gridCol w:w="701"/>
              <w:gridCol w:w="788"/>
              <w:gridCol w:w="978"/>
              <w:gridCol w:w="1264"/>
              <w:gridCol w:w="8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6" w:type="pct"/>
                  <w:vMerge w:val="restar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来源</w:t>
                  </w:r>
                </w:p>
              </w:tc>
              <w:tc>
                <w:tcPr>
                  <w:tcW w:w="361" w:type="pct"/>
                  <w:vMerge w:val="restar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废气编号</w:t>
                  </w:r>
                </w:p>
              </w:tc>
              <w:tc>
                <w:tcPr>
                  <w:tcW w:w="362" w:type="pct"/>
                  <w:vMerge w:val="restar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污染源名称</w:t>
                  </w:r>
                </w:p>
              </w:tc>
              <w:tc>
                <w:tcPr>
                  <w:tcW w:w="427" w:type="pct"/>
                  <w:vMerge w:val="restar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污染物名称</w:t>
                  </w:r>
                </w:p>
              </w:tc>
              <w:tc>
                <w:tcPr>
                  <w:tcW w:w="833" w:type="pct"/>
                  <w:gridSpan w:val="2"/>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污染物产生量</w:t>
                  </w:r>
                </w:p>
              </w:tc>
              <w:tc>
                <w:tcPr>
                  <w:tcW w:w="384" w:type="pct"/>
                  <w:vMerge w:val="restar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治理措施</w:t>
                  </w:r>
                </w:p>
              </w:tc>
              <w:tc>
                <w:tcPr>
                  <w:tcW w:w="968" w:type="pct"/>
                  <w:gridSpan w:val="2"/>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污染物排放量</w:t>
                  </w:r>
                </w:p>
              </w:tc>
              <w:tc>
                <w:tcPr>
                  <w:tcW w:w="693" w:type="pct"/>
                  <w:vMerge w:val="restar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排放参数</w:t>
                  </w:r>
                </w:p>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（长×宽×高（m））</w:t>
                  </w:r>
                </w:p>
              </w:tc>
              <w:tc>
                <w:tcPr>
                  <w:tcW w:w="486" w:type="pct"/>
                  <w:vMerge w:val="restart"/>
                  <w:vAlign w:val="center"/>
                </w:tcPr>
                <w:p>
                  <w:pPr>
                    <w:spacing w:line="300" w:lineRule="exact"/>
                    <w:jc w:val="center"/>
                    <w:rPr>
                      <w:rFonts w:ascii="Times New Roman" w:hAnsi="Times New Roman" w:eastAsiaTheme="minorEastAsia"/>
                      <w:kern w:val="0"/>
                      <w:szCs w:val="21"/>
                    </w:rPr>
                  </w:pPr>
                  <w:r>
                    <w:rPr>
                      <w:rFonts w:ascii="Times New Roman" w:hAnsi="Times New Roman"/>
                      <w:kern w:val="0"/>
                      <w:szCs w:val="21"/>
                    </w:rPr>
                    <w:t>排放时间/h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6" w:type="pct"/>
                  <w:vMerge w:val="continue"/>
                  <w:vAlign w:val="center"/>
                </w:tcPr>
                <w:p>
                  <w:pPr>
                    <w:spacing w:line="300" w:lineRule="exact"/>
                    <w:jc w:val="center"/>
                    <w:rPr>
                      <w:rFonts w:ascii="Times New Roman" w:hAnsi="Times New Roman" w:eastAsiaTheme="minorEastAsia"/>
                      <w:kern w:val="0"/>
                      <w:szCs w:val="21"/>
                    </w:rPr>
                  </w:pPr>
                </w:p>
              </w:tc>
              <w:tc>
                <w:tcPr>
                  <w:tcW w:w="361" w:type="pct"/>
                  <w:vMerge w:val="continue"/>
                  <w:vAlign w:val="center"/>
                </w:tcPr>
                <w:p>
                  <w:pPr>
                    <w:spacing w:line="300" w:lineRule="exact"/>
                    <w:jc w:val="center"/>
                    <w:rPr>
                      <w:rFonts w:ascii="Times New Roman" w:hAnsi="Times New Roman" w:eastAsiaTheme="minorEastAsia"/>
                      <w:kern w:val="0"/>
                      <w:szCs w:val="21"/>
                    </w:rPr>
                  </w:pPr>
                </w:p>
              </w:tc>
              <w:tc>
                <w:tcPr>
                  <w:tcW w:w="362" w:type="pct"/>
                  <w:vMerge w:val="continue"/>
                  <w:vAlign w:val="center"/>
                </w:tcPr>
                <w:p>
                  <w:pPr>
                    <w:spacing w:line="300" w:lineRule="exact"/>
                    <w:jc w:val="center"/>
                    <w:rPr>
                      <w:rFonts w:ascii="Times New Roman" w:hAnsi="Times New Roman" w:eastAsiaTheme="minorEastAsia"/>
                      <w:kern w:val="0"/>
                      <w:szCs w:val="21"/>
                    </w:rPr>
                  </w:pPr>
                </w:p>
              </w:tc>
              <w:tc>
                <w:tcPr>
                  <w:tcW w:w="427" w:type="pct"/>
                  <w:vMerge w:val="continue"/>
                  <w:vAlign w:val="center"/>
                </w:tcPr>
                <w:p>
                  <w:pPr>
                    <w:spacing w:line="300" w:lineRule="exact"/>
                    <w:jc w:val="center"/>
                    <w:rPr>
                      <w:rFonts w:ascii="Times New Roman" w:hAnsi="Times New Roman" w:eastAsiaTheme="minorEastAsia"/>
                      <w:kern w:val="0"/>
                      <w:szCs w:val="21"/>
                    </w:rPr>
                  </w:pPr>
                </w:p>
              </w:tc>
              <w:tc>
                <w:tcPr>
                  <w:tcW w:w="426"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浓度mg/m</w:t>
                  </w:r>
                  <w:r>
                    <w:rPr>
                      <w:rFonts w:ascii="Times New Roman" w:hAnsi="Times New Roman" w:eastAsiaTheme="minorEastAsia"/>
                      <w:kern w:val="0"/>
                      <w:szCs w:val="21"/>
                      <w:vertAlign w:val="superscript"/>
                    </w:rPr>
                    <w:t>3</w:t>
                  </w:r>
                </w:p>
              </w:tc>
              <w:tc>
                <w:tcPr>
                  <w:tcW w:w="407"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产生量</w:t>
                  </w:r>
                </w:p>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kg/h</w:t>
                  </w:r>
                </w:p>
              </w:tc>
              <w:tc>
                <w:tcPr>
                  <w:tcW w:w="384" w:type="pct"/>
                  <w:vMerge w:val="continue"/>
                  <w:vAlign w:val="center"/>
                </w:tcPr>
                <w:p>
                  <w:pPr>
                    <w:spacing w:line="300" w:lineRule="exact"/>
                    <w:jc w:val="center"/>
                    <w:rPr>
                      <w:rFonts w:ascii="Times New Roman" w:hAnsi="Times New Roman" w:eastAsiaTheme="minorEastAsia"/>
                      <w:kern w:val="0"/>
                      <w:szCs w:val="21"/>
                    </w:rPr>
                  </w:pPr>
                </w:p>
              </w:tc>
              <w:tc>
                <w:tcPr>
                  <w:tcW w:w="432"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浓度</w:t>
                  </w:r>
                </w:p>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mg/m</w:t>
                  </w:r>
                  <w:r>
                    <w:rPr>
                      <w:rFonts w:ascii="Times New Roman" w:hAnsi="Times New Roman" w:eastAsiaTheme="minorEastAsia"/>
                      <w:kern w:val="0"/>
                      <w:szCs w:val="21"/>
                      <w:vertAlign w:val="superscript"/>
                    </w:rPr>
                    <w:t>3</w:t>
                  </w:r>
                </w:p>
              </w:tc>
              <w:tc>
                <w:tcPr>
                  <w:tcW w:w="536"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排放量</w:t>
                  </w:r>
                </w:p>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kg/h</w:t>
                  </w:r>
                </w:p>
              </w:tc>
              <w:tc>
                <w:tcPr>
                  <w:tcW w:w="693" w:type="pct"/>
                  <w:vMerge w:val="continue"/>
                  <w:vAlign w:val="center"/>
                </w:tcPr>
                <w:p>
                  <w:pPr>
                    <w:spacing w:line="300" w:lineRule="exact"/>
                    <w:jc w:val="center"/>
                    <w:rPr>
                      <w:rFonts w:ascii="Times New Roman" w:hAnsi="Times New Roman" w:eastAsiaTheme="minorEastAsia"/>
                      <w:kern w:val="0"/>
                      <w:szCs w:val="21"/>
                    </w:rPr>
                  </w:pPr>
                </w:p>
              </w:tc>
              <w:tc>
                <w:tcPr>
                  <w:tcW w:w="486" w:type="pct"/>
                  <w:vMerge w:val="continue"/>
                  <w:vAlign w:val="center"/>
                </w:tcPr>
                <w:p>
                  <w:pPr>
                    <w:spacing w:line="300" w:lineRule="exact"/>
                    <w:jc w:val="center"/>
                    <w:rPr>
                      <w:rFonts w:ascii="Times New Roman" w:hAnsi="Times New Roman" w:eastAsiaTheme="minorEastAsia"/>
                      <w:kern w:val="0"/>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6"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加油、卸油</w:t>
                  </w:r>
                </w:p>
              </w:tc>
              <w:tc>
                <w:tcPr>
                  <w:tcW w:w="361"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w:t>
                  </w:r>
                </w:p>
              </w:tc>
              <w:tc>
                <w:tcPr>
                  <w:tcW w:w="362" w:type="pct"/>
                  <w:vAlign w:val="center"/>
                </w:tcPr>
                <w:p>
                  <w:pPr>
                    <w:pStyle w:val="63"/>
                  </w:pPr>
                  <w:r>
                    <w:t>加油站作业</w:t>
                  </w:r>
                </w:p>
              </w:tc>
              <w:tc>
                <w:tcPr>
                  <w:tcW w:w="427" w:type="pct"/>
                  <w:vAlign w:val="center"/>
                </w:tcPr>
                <w:p>
                  <w:pPr>
                    <w:pStyle w:val="63"/>
                  </w:pPr>
                  <w:r>
                    <w:t>非甲烷总烃</w:t>
                  </w:r>
                </w:p>
              </w:tc>
              <w:tc>
                <w:tcPr>
                  <w:tcW w:w="426"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＜25</w:t>
                  </w:r>
                </w:p>
              </w:tc>
              <w:tc>
                <w:tcPr>
                  <w:tcW w:w="407" w:type="pct"/>
                  <w:vAlign w:val="center"/>
                </w:tcPr>
                <w:p>
                  <w:pPr>
                    <w:pStyle w:val="63"/>
                  </w:pPr>
                  <w:r>
                    <w:t>0.</w:t>
                  </w:r>
                  <w:r>
                    <w:rPr>
                      <w:rFonts w:hint="eastAsia"/>
                    </w:rPr>
                    <w:t>46</w:t>
                  </w:r>
                </w:p>
              </w:tc>
              <w:tc>
                <w:tcPr>
                  <w:tcW w:w="384"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油气回收</w:t>
                  </w:r>
                </w:p>
              </w:tc>
              <w:tc>
                <w:tcPr>
                  <w:tcW w:w="432" w:type="pct"/>
                  <w:vAlign w:val="center"/>
                </w:tcPr>
                <w:p>
                  <w:pPr>
                    <w:spacing w:line="300" w:lineRule="exact"/>
                    <w:jc w:val="center"/>
                    <w:rPr>
                      <w:rFonts w:ascii="Times New Roman" w:hAnsi="Times New Roman" w:eastAsiaTheme="minorEastAsia"/>
                      <w:kern w:val="0"/>
                      <w:szCs w:val="21"/>
                    </w:rPr>
                  </w:pPr>
                  <w:r>
                    <w:rPr>
                      <w:rFonts w:ascii="Times New Roman" w:hAnsi="Times New Roman" w:eastAsiaTheme="minorEastAsia"/>
                      <w:kern w:val="0"/>
                      <w:szCs w:val="21"/>
                    </w:rPr>
                    <w:t>＜25</w:t>
                  </w:r>
                </w:p>
              </w:tc>
              <w:tc>
                <w:tcPr>
                  <w:tcW w:w="536" w:type="pct"/>
                  <w:vAlign w:val="center"/>
                </w:tcPr>
                <w:p>
                  <w:pPr>
                    <w:pStyle w:val="63"/>
                  </w:pPr>
                  <w:r>
                    <w:rPr>
                      <w:rFonts w:hint="eastAsia"/>
                    </w:rPr>
                    <w:t>0.053</w:t>
                  </w:r>
                </w:p>
              </w:tc>
              <w:tc>
                <w:tcPr>
                  <w:tcW w:w="693" w:type="pct"/>
                  <w:vAlign w:val="center"/>
                </w:tcPr>
                <w:p>
                  <w:pPr>
                    <w:pStyle w:val="61"/>
                    <w:spacing w:line="300" w:lineRule="exact"/>
                    <w:rPr>
                      <w:rFonts w:eastAsiaTheme="minorEastAsia"/>
                      <w:bCs/>
                      <w:sz w:val="21"/>
                      <w:szCs w:val="21"/>
                    </w:rPr>
                  </w:pPr>
                  <w:r>
                    <w:rPr>
                      <w:rFonts w:hint="eastAsia" w:eastAsiaTheme="minorEastAsia"/>
                      <w:bCs/>
                      <w:sz w:val="21"/>
                      <w:szCs w:val="21"/>
                    </w:rPr>
                    <w:t>40</w:t>
                  </w:r>
                  <w:r>
                    <w:rPr>
                      <w:rFonts w:eastAsiaTheme="minorEastAsia"/>
                      <w:bCs/>
                      <w:sz w:val="21"/>
                      <w:szCs w:val="21"/>
                    </w:rPr>
                    <w:t>×</w:t>
                  </w:r>
                  <w:r>
                    <w:rPr>
                      <w:rFonts w:hint="eastAsia" w:eastAsiaTheme="minorEastAsia"/>
                      <w:bCs/>
                      <w:sz w:val="21"/>
                      <w:szCs w:val="21"/>
                    </w:rPr>
                    <w:t>30</w:t>
                  </w:r>
                  <w:r>
                    <w:rPr>
                      <w:rFonts w:eastAsiaTheme="minorEastAsia"/>
                      <w:bCs/>
                      <w:sz w:val="21"/>
                      <w:szCs w:val="21"/>
                    </w:rPr>
                    <w:t>×</w:t>
                  </w:r>
                  <w:r>
                    <w:rPr>
                      <w:rFonts w:hint="eastAsia" w:eastAsiaTheme="minorEastAsia"/>
                      <w:bCs/>
                      <w:sz w:val="21"/>
                      <w:szCs w:val="21"/>
                    </w:rPr>
                    <w:t>4</w:t>
                  </w:r>
                </w:p>
              </w:tc>
              <w:tc>
                <w:tcPr>
                  <w:tcW w:w="486" w:type="pct"/>
                  <w:vAlign w:val="center"/>
                </w:tcPr>
                <w:p>
                  <w:pPr>
                    <w:pStyle w:val="61"/>
                    <w:spacing w:line="300" w:lineRule="exact"/>
                    <w:rPr>
                      <w:rFonts w:eastAsiaTheme="minorEastAsia"/>
                      <w:bCs/>
                      <w:sz w:val="21"/>
                      <w:szCs w:val="21"/>
                    </w:rPr>
                  </w:pPr>
                  <w:r>
                    <w:rPr>
                      <w:rFonts w:eastAsiaTheme="minorEastAsia"/>
                      <w:bCs/>
                      <w:sz w:val="21"/>
                      <w:szCs w:val="21"/>
                    </w:rPr>
                    <w:t>8760</w:t>
                  </w:r>
                </w:p>
              </w:tc>
            </w:tr>
          </w:tbl>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 xml:space="preserve">3 </w:t>
            </w:r>
            <w:r>
              <w:rPr>
                <w:rFonts w:ascii="Times New Roman" w:hAnsi="Times New Roman" w:eastAsiaTheme="minorEastAsia"/>
                <w:sz w:val="28"/>
                <w:szCs w:val="28"/>
              </w:rPr>
              <w:t>噪声</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bCs/>
                <w:sz w:val="28"/>
                <w:szCs w:val="28"/>
              </w:rPr>
              <w:t>噪声污染源主要为加油机、吸油泵产生的噪声及</w:t>
            </w:r>
            <w:r>
              <w:rPr>
                <w:rFonts w:ascii="Times New Roman" w:hAnsi="Times New Roman" w:eastAsiaTheme="minorEastAsia"/>
                <w:sz w:val="28"/>
                <w:szCs w:val="28"/>
              </w:rPr>
              <w:t>油罐车及其它加油车辆进场时的汽车噪声，</w:t>
            </w:r>
            <w:r>
              <w:rPr>
                <w:rFonts w:ascii="Times New Roman" w:hAnsi="Times New Roman" w:eastAsiaTheme="minorEastAsia"/>
                <w:bCs/>
                <w:sz w:val="28"/>
                <w:szCs w:val="28"/>
              </w:rPr>
              <w:t>加油机、吸油泵正常运行时噪声源强在</w:t>
            </w:r>
            <w:r>
              <w:rPr>
                <w:rFonts w:hint="eastAsia" w:ascii="Times New Roman" w:hAnsi="Times New Roman" w:eastAsiaTheme="minorEastAsia"/>
                <w:bCs/>
                <w:sz w:val="28"/>
                <w:szCs w:val="28"/>
              </w:rPr>
              <w:t>7</w:t>
            </w:r>
            <w:r>
              <w:rPr>
                <w:rFonts w:ascii="Times New Roman" w:hAnsi="Times New Roman" w:eastAsiaTheme="minorEastAsia"/>
                <w:bCs/>
                <w:sz w:val="28"/>
                <w:szCs w:val="28"/>
              </w:rPr>
              <w:t>0~</w:t>
            </w:r>
            <w:r>
              <w:rPr>
                <w:rFonts w:hint="eastAsia" w:ascii="Times New Roman" w:hAnsi="Times New Roman" w:eastAsiaTheme="minorEastAsia"/>
                <w:bCs/>
                <w:sz w:val="28"/>
                <w:szCs w:val="28"/>
              </w:rPr>
              <w:t>8</w:t>
            </w:r>
            <w:r>
              <w:rPr>
                <w:rFonts w:ascii="Times New Roman" w:hAnsi="Times New Roman" w:eastAsiaTheme="minorEastAsia"/>
                <w:bCs/>
                <w:sz w:val="28"/>
                <w:szCs w:val="28"/>
              </w:rPr>
              <w:t>0dB(A)之间，油气回收装置正常运转状态下的噪声源强约为</w:t>
            </w:r>
            <w:r>
              <w:rPr>
                <w:rFonts w:hint="eastAsia" w:ascii="Times New Roman" w:hAnsi="Times New Roman" w:eastAsiaTheme="minorEastAsia"/>
                <w:bCs/>
                <w:sz w:val="28"/>
                <w:szCs w:val="28"/>
              </w:rPr>
              <w:t>60</w:t>
            </w:r>
            <w:r>
              <w:rPr>
                <w:rFonts w:ascii="Times New Roman" w:hAnsi="Times New Roman" w:eastAsiaTheme="minorEastAsia"/>
                <w:bCs/>
                <w:sz w:val="28"/>
                <w:szCs w:val="28"/>
              </w:rPr>
              <w:t>～</w:t>
            </w:r>
            <w:r>
              <w:rPr>
                <w:rFonts w:hint="eastAsia" w:ascii="Times New Roman" w:hAnsi="Times New Roman" w:eastAsiaTheme="minorEastAsia"/>
                <w:bCs/>
                <w:sz w:val="28"/>
                <w:szCs w:val="28"/>
              </w:rPr>
              <w:t>7</w:t>
            </w:r>
            <w:r>
              <w:rPr>
                <w:rFonts w:ascii="Times New Roman" w:hAnsi="Times New Roman" w:eastAsiaTheme="minorEastAsia"/>
                <w:bCs/>
                <w:sz w:val="28"/>
                <w:szCs w:val="28"/>
              </w:rPr>
              <w:t>0dB(A)。</w:t>
            </w:r>
            <w:r>
              <w:rPr>
                <w:rFonts w:ascii="Times New Roman" w:hAnsi="Times New Roman" w:eastAsiaTheme="minorEastAsia"/>
                <w:sz w:val="28"/>
                <w:szCs w:val="28"/>
              </w:rPr>
              <w:t>一般汽车进入加油站的车速较低，噪声强度在55～65</w:t>
            </w:r>
            <w:r>
              <w:rPr>
                <w:rFonts w:ascii="Times New Roman" w:hAnsi="Times New Roman" w:eastAsiaTheme="minorEastAsia"/>
                <w:kern w:val="0"/>
                <w:sz w:val="28"/>
                <w:szCs w:val="28"/>
              </w:rPr>
              <w:t xml:space="preserve"> dB(A)</w:t>
            </w:r>
            <w:r>
              <w:rPr>
                <w:rFonts w:ascii="Times New Roman" w:hAnsi="Times New Roman" w:eastAsiaTheme="minorEastAsia"/>
                <w:sz w:val="28"/>
                <w:szCs w:val="28"/>
              </w:rPr>
              <w:t>之间。</w:t>
            </w:r>
          </w:p>
          <w:p>
            <w:pPr>
              <w:spacing w:line="360" w:lineRule="auto"/>
              <w:jc w:val="center"/>
              <w:rPr>
                <w:rFonts w:ascii="Times New Roman" w:hAnsi="Times New Roman" w:eastAsiaTheme="minorEastAsia"/>
                <w:b/>
                <w:sz w:val="24"/>
                <w:szCs w:val="24"/>
              </w:rPr>
            </w:pPr>
            <w:r>
              <w:rPr>
                <w:rFonts w:ascii="Times New Roman" w:hAnsi="Times New Roman" w:eastAsiaTheme="minorEastAsia"/>
                <w:b/>
                <w:sz w:val="24"/>
                <w:szCs w:val="24"/>
              </w:rPr>
              <w:t>表</w:t>
            </w:r>
            <w:r>
              <w:rPr>
                <w:rFonts w:hint="eastAsia" w:ascii="Times New Roman" w:hAnsi="Times New Roman" w:eastAsiaTheme="minorEastAsia"/>
                <w:b/>
                <w:sz w:val="24"/>
                <w:szCs w:val="24"/>
              </w:rPr>
              <w:t>30</w:t>
            </w:r>
            <w:r>
              <w:rPr>
                <w:rFonts w:ascii="Times New Roman" w:hAnsi="Times New Roman" w:eastAsiaTheme="minorEastAsia"/>
                <w:b/>
                <w:sz w:val="24"/>
                <w:szCs w:val="24"/>
              </w:rPr>
              <w:t xml:space="preserve">       主要噪声设备</w:t>
            </w:r>
          </w:p>
          <w:tbl>
            <w:tblPr>
              <w:tblStyle w:val="26"/>
              <w:tblW w:w="9173"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884"/>
              <w:gridCol w:w="817"/>
              <w:gridCol w:w="850"/>
              <w:gridCol w:w="851"/>
              <w:gridCol w:w="992"/>
              <w:gridCol w:w="1066"/>
              <w:gridCol w:w="918"/>
              <w:gridCol w:w="918"/>
              <w:gridCol w:w="9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工序/生产线</w:t>
                  </w:r>
                </w:p>
              </w:tc>
              <w:tc>
                <w:tcPr>
                  <w:tcW w:w="884"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装置</w:t>
                  </w:r>
                </w:p>
              </w:tc>
              <w:tc>
                <w:tcPr>
                  <w:tcW w:w="817"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噪声源</w:t>
                  </w:r>
                </w:p>
              </w:tc>
              <w:tc>
                <w:tcPr>
                  <w:tcW w:w="1701"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噪声源</w:t>
                  </w:r>
                </w:p>
              </w:tc>
              <w:tc>
                <w:tcPr>
                  <w:tcW w:w="2058"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降噪措施</w:t>
                  </w:r>
                </w:p>
              </w:tc>
              <w:tc>
                <w:tcPr>
                  <w:tcW w:w="1836"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噪声排放值</w:t>
                  </w:r>
                </w:p>
              </w:tc>
              <w:tc>
                <w:tcPr>
                  <w:tcW w:w="918"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持续时间/h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pPr>
                    <w:spacing w:line="300" w:lineRule="auto"/>
                    <w:jc w:val="center"/>
                    <w:rPr>
                      <w:rFonts w:ascii="Times New Roman" w:hAnsi="Times New Roman" w:eastAsiaTheme="minorEastAsia"/>
                      <w:szCs w:val="21"/>
                      <w:lang w:val="en-GB"/>
                    </w:rPr>
                  </w:pPr>
                </w:p>
              </w:tc>
              <w:tc>
                <w:tcPr>
                  <w:tcW w:w="884" w:type="dxa"/>
                  <w:vMerge w:val="continue"/>
                  <w:vAlign w:val="center"/>
                </w:tcPr>
                <w:p>
                  <w:pPr>
                    <w:spacing w:line="300" w:lineRule="auto"/>
                    <w:jc w:val="center"/>
                    <w:rPr>
                      <w:rFonts w:ascii="Times New Roman" w:hAnsi="Times New Roman" w:eastAsiaTheme="minorEastAsia"/>
                      <w:szCs w:val="21"/>
                      <w:lang w:val="en-GB"/>
                    </w:rPr>
                  </w:pPr>
                </w:p>
              </w:tc>
              <w:tc>
                <w:tcPr>
                  <w:tcW w:w="817" w:type="dxa"/>
                  <w:vMerge w:val="continue"/>
                  <w:vAlign w:val="center"/>
                </w:tcPr>
                <w:p>
                  <w:pPr>
                    <w:spacing w:line="300" w:lineRule="auto"/>
                    <w:jc w:val="center"/>
                    <w:rPr>
                      <w:rFonts w:ascii="Times New Roman" w:hAnsi="Times New Roman" w:eastAsiaTheme="minorEastAsia"/>
                      <w:szCs w:val="21"/>
                      <w:lang w:val="en-GB"/>
                    </w:rPr>
                  </w:pP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核算</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方法</w:t>
                  </w:r>
                </w:p>
              </w:tc>
              <w:tc>
                <w:tcPr>
                  <w:tcW w:w="851"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噪声值</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dB(A)</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工艺</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降噪效果</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dB</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核算方法</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噪声值</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dB(A)</w:t>
                  </w:r>
                </w:p>
              </w:tc>
              <w:tc>
                <w:tcPr>
                  <w:tcW w:w="918" w:type="dxa"/>
                  <w:vMerge w:val="continue"/>
                  <w:vAlign w:val="center"/>
                </w:tcPr>
                <w:p>
                  <w:pPr>
                    <w:spacing w:line="300" w:lineRule="auto"/>
                    <w:jc w:val="center"/>
                    <w:rPr>
                      <w:rFonts w:ascii="Times New Roman" w:hAnsi="Times New Roman" w:eastAsiaTheme="minorEastAsia"/>
                      <w:szCs w:val="21"/>
                      <w:lang w:val="en-GB"/>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加油、卸油</w:t>
                  </w:r>
                </w:p>
              </w:tc>
              <w:tc>
                <w:tcPr>
                  <w:tcW w:w="1701" w:type="dxa"/>
                  <w:gridSpan w:val="2"/>
                  <w:vAlign w:val="center"/>
                </w:tcPr>
                <w:p>
                  <w:pPr>
                    <w:spacing w:line="300" w:lineRule="auto"/>
                    <w:jc w:val="center"/>
                    <w:rPr>
                      <w:rFonts w:ascii="Times New Roman" w:hAnsi="Times New Roman" w:eastAsiaTheme="minorEastAsia"/>
                      <w:szCs w:val="21"/>
                      <w:highlight w:val="yellow"/>
                      <w:lang w:val="en-GB"/>
                    </w:rPr>
                  </w:pPr>
                  <w:r>
                    <w:rPr>
                      <w:rFonts w:ascii="Times New Roman" w:hAnsi="Times New Roman" w:eastAsiaTheme="minorEastAsia"/>
                      <w:szCs w:val="21"/>
                      <w:lang w:val="en-GB"/>
                    </w:rPr>
                    <w:t>加油机、吸油泵</w:t>
                  </w: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类比法</w:t>
                  </w:r>
                </w:p>
              </w:tc>
              <w:tc>
                <w:tcPr>
                  <w:tcW w:w="851"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70</w:t>
                  </w:r>
                  <w:r>
                    <w:rPr>
                      <w:rFonts w:hint="eastAsia" w:ascii="Times New Roman" w:hAnsi="Times New Roman" w:eastAsiaTheme="minorEastAsia"/>
                      <w:szCs w:val="21"/>
                      <w:lang w:val="en-GB"/>
                    </w:rPr>
                    <w:t>-80</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基础减震</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15</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计算</w:t>
                  </w:r>
                </w:p>
              </w:tc>
              <w:tc>
                <w:tcPr>
                  <w:tcW w:w="918"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55-65</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8760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油气回收</w:t>
                  </w:r>
                </w:p>
              </w:tc>
              <w:tc>
                <w:tcPr>
                  <w:tcW w:w="1701"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油气回收装置</w:t>
                  </w: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类比法</w:t>
                  </w:r>
                </w:p>
              </w:tc>
              <w:tc>
                <w:tcPr>
                  <w:tcW w:w="851"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60-70</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基础减振</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15</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计算</w:t>
                  </w:r>
                </w:p>
              </w:tc>
              <w:tc>
                <w:tcPr>
                  <w:tcW w:w="918"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45-55</w:t>
                  </w:r>
                </w:p>
              </w:tc>
              <w:tc>
                <w:tcPr>
                  <w:tcW w:w="918" w:type="dxa"/>
                  <w:vAlign w:val="center"/>
                </w:tcPr>
                <w:p>
                  <w:pPr>
                    <w:spacing w:line="300" w:lineRule="auto"/>
                    <w:jc w:val="center"/>
                    <w:rPr>
                      <w:rFonts w:ascii="Times New Roman" w:hAnsi="Times New Roman" w:eastAsiaTheme="minorEastAsia"/>
                      <w:bCs/>
                      <w:szCs w:val="21"/>
                    </w:rPr>
                  </w:pPr>
                  <w:r>
                    <w:rPr>
                      <w:rFonts w:ascii="Times New Roman" w:hAnsi="Times New Roman" w:eastAsiaTheme="minorEastAsia"/>
                      <w:bCs/>
                      <w:szCs w:val="21"/>
                    </w:rPr>
                    <w:t>8760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加油</w:t>
                  </w:r>
                </w:p>
              </w:tc>
              <w:tc>
                <w:tcPr>
                  <w:tcW w:w="1701"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站内车辆</w:t>
                  </w: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类比法</w:t>
                  </w:r>
                </w:p>
              </w:tc>
              <w:tc>
                <w:tcPr>
                  <w:tcW w:w="851"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55-</w:t>
                  </w:r>
                  <w:r>
                    <w:rPr>
                      <w:rFonts w:ascii="Times New Roman" w:hAnsi="Times New Roman" w:eastAsiaTheme="minorEastAsia"/>
                      <w:szCs w:val="21"/>
                      <w:lang w:val="en-GB"/>
                    </w:rPr>
                    <w:t>65</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无</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0</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w:t>
                  </w:r>
                </w:p>
              </w:tc>
              <w:tc>
                <w:tcPr>
                  <w:tcW w:w="918"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55-65</w:t>
                  </w:r>
                </w:p>
              </w:tc>
              <w:tc>
                <w:tcPr>
                  <w:tcW w:w="918" w:type="dxa"/>
                  <w:vAlign w:val="center"/>
                </w:tcPr>
                <w:p>
                  <w:pPr>
                    <w:spacing w:line="300" w:lineRule="auto"/>
                    <w:jc w:val="center"/>
                    <w:rPr>
                      <w:rFonts w:ascii="Times New Roman" w:hAnsi="Times New Roman" w:eastAsiaTheme="minorEastAsia"/>
                      <w:bCs/>
                      <w:szCs w:val="21"/>
                    </w:rPr>
                  </w:pPr>
                  <w:r>
                    <w:rPr>
                      <w:rFonts w:ascii="Times New Roman" w:hAnsi="Times New Roman" w:eastAsiaTheme="minorEastAsia"/>
                      <w:bCs/>
                      <w:szCs w:val="21"/>
                    </w:rPr>
                    <w:t>8760</w:t>
                  </w:r>
                </w:p>
              </w:tc>
            </w:tr>
          </w:tbl>
          <w:p>
            <w:pPr>
              <w:spacing w:line="360" w:lineRule="auto"/>
              <w:ind w:firstLine="420" w:firstLineChars="150"/>
              <w:rPr>
                <w:rFonts w:ascii="Times New Roman" w:hAnsi="Times New Roman" w:eastAsiaTheme="minorEastAsia"/>
                <w:sz w:val="28"/>
                <w:szCs w:val="28"/>
              </w:rPr>
            </w:pPr>
            <w:r>
              <w:rPr>
                <w:rFonts w:hint="eastAsia" w:ascii="Times New Roman" w:hAnsi="Times New Roman" w:eastAsiaTheme="minorEastAsia"/>
                <w:sz w:val="28"/>
                <w:szCs w:val="28"/>
              </w:rPr>
              <w:t xml:space="preserve">4 </w:t>
            </w:r>
            <w:r>
              <w:rPr>
                <w:rFonts w:ascii="Times New Roman" w:hAnsi="Times New Roman" w:eastAsiaTheme="minorEastAsia"/>
                <w:sz w:val="28"/>
                <w:szCs w:val="28"/>
              </w:rPr>
              <w:t>固体废物</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本项目固废主要为</w:t>
            </w:r>
            <w:r>
              <w:rPr>
                <w:rFonts w:ascii="Times New Roman" w:hAnsi="Times New Roman" w:eastAsiaTheme="minorEastAsia"/>
                <w:bCs/>
                <w:sz w:val="28"/>
                <w:szCs w:val="28"/>
              </w:rPr>
              <w:t>职工</w:t>
            </w:r>
            <w:r>
              <w:rPr>
                <w:rFonts w:ascii="Times New Roman" w:hAnsi="Times New Roman" w:eastAsiaTheme="minorEastAsia"/>
                <w:sz w:val="28"/>
                <w:szCs w:val="28"/>
              </w:rPr>
              <w:t>生活垃圾、</w:t>
            </w:r>
            <w:r>
              <w:rPr>
                <w:rFonts w:hint="eastAsia" w:ascii="Times New Roman" w:hAnsi="Times New Roman" w:eastAsiaTheme="minorEastAsia"/>
                <w:sz w:val="28"/>
                <w:szCs w:val="28"/>
              </w:rPr>
              <w:t>油罐</w:t>
            </w:r>
            <w:r>
              <w:rPr>
                <w:rFonts w:ascii="Times New Roman" w:hAnsi="Times New Roman" w:eastAsiaTheme="minorEastAsia"/>
                <w:sz w:val="28"/>
                <w:szCs w:val="28"/>
              </w:rPr>
              <w:t>油泥。</w:t>
            </w:r>
          </w:p>
          <w:p>
            <w:pPr>
              <w:spacing w:line="360" w:lineRule="auto"/>
              <w:ind w:firstLine="560" w:firstLineChars="200"/>
              <w:rPr>
                <w:rFonts w:ascii="Times New Roman" w:hAnsi="Times New Roman" w:eastAsiaTheme="minorEastAsia"/>
                <w:sz w:val="28"/>
                <w:szCs w:val="28"/>
              </w:rPr>
            </w:pPr>
            <w:r>
              <w:rPr>
                <w:rFonts w:hint="eastAsia" w:ascii="宋体" w:hAnsi="宋体" w:cs="宋体"/>
                <w:sz w:val="28"/>
                <w:szCs w:val="28"/>
              </w:rPr>
              <w:t>①</w:t>
            </w:r>
            <w:r>
              <w:rPr>
                <w:rFonts w:ascii="Times New Roman" w:hAnsi="Times New Roman" w:eastAsiaTheme="minorEastAsia"/>
                <w:sz w:val="28"/>
                <w:szCs w:val="28"/>
              </w:rPr>
              <w:t xml:space="preserve"> 生活垃圾：该项目共设工作人员</w:t>
            </w:r>
            <w:r>
              <w:rPr>
                <w:rFonts w:hint="eastAsia" w:ascii="Times New Roman" w:hAnsi="Times New Roman" w:eastAsiaTheme="minorEastAsia"/>
                <w:sz w:val="28"/>
                <w:szCs w:val="28"/>
              </w:rPr>
              <w:t>8</w:t>
            </w:r>
            <w:r>
              <w:rPr>
                <w:rFonts w:ascii="Times New Roman" w:hAnsi="Times New Roman" w:eastAsiaTheme="minorEastAsia"/>
                <w:sz w:val="28"/>
                <w:szCs w:val="28"/>
              </w:rPr>
              <w:t>人，产生垃圾量按0.5 kg/人•d计，年工作365d，本项目日产生活垃圾量为约</w:t>
            </w:r>
            <w:r>
              <w:rPr>
                <w:rFonts w:hint="eastAsia" w:ascii="Times New Roman" w:hAnsi="Times New Roman" w:eastAsiaTheme="minorEastAsia"/>
                <w:sz w:val="28"/>
                <w:szCs w:val="28"/>
              </w:rPr>
              <w:t>1.46</w:t>
            </w:r>
            <w:r>
              <w:rPr>
                <w:rFonts w:ascii="Times New Roman" w:hAnsi="Times New Roman" w:eastAsiaTheme="minorEastAsia"/>
                <w:sz w:val="28"/>
                <w:szCs w:val="28"/>
              </w:rPr>
              <w:t xml:space="preserve"> t/a。生活垃圾需要经集中收集后，送至环卫部门指定的消纳地点。</w:t>
            </w:r>
          </w:p>
          <w:p>
            <w:pPr>
              <w:spacing w:line="360" w:lineRule="auto"/>
              <w:ind w:firstLine="560" w:firstLineChars="200"/>
              <w:rPr>
                <w:rFonts w:ascii="Times New Roman" w:hAnsi="Times New Roman" w:eastAsiaTheme="minorEastAsia"/>
                <w:sz w:val="28"/>
                <w:szCs w:val="28"/>
              </w:rPr>
            </w:pPr>
            <w:r>
              <w:rPr>
                <w:rFonts w:hint="eastAsia" w:ascii="宋体" w:hAnsi="宋体" w:cs="宋体"/>
                <w:sz w:val="28"/>
                <w:szCs w:val="28"/>
              </w:rPr>
              <w:t>②</w:t>
            </w:r>
            <w:r>
              <w:rPr>
                <w:rFonts w:ascii="Times New Roman" w:hAnsi="Times New Roman" w:eastAsiaTheme="minorEastAsia"/>
                <w:sz w:val="28"/>
                <w:szCs w:val="28"/>
              </w:rPr>
              <w:t xml:space="preserve"> 油泥：地下储油罐经过长期使用，在罐底积累的油泥需定时清除。</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油品储罐在储存油品在长时间的存放过程中，油品中的少量机械杂质、沙粒、泥土、重金属盐类以及石蜡和沥青质等重油性组分会因比重差而自然沉降积累在油罐底部，形成又黑又稠的胶状物质层，一般需在间隔3年，定期油罐清洗时，将它清出罐外，从而产生油罐油泥，本项目油罐产生量为0.2 t/3a。</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根据《国家危险废物名录》</w:t>
            </w:r>
            <w:r>
              <w:rPr>
                <w:rFonts w:ascii="Times New Roman" w:hAnsi="Times New Roman" w:eastAsiaTheme="minorEastAsia"/>
                <w:bCs/>
                <w:sz w:val="28"/>
                <w:szCs w:val="28"/>
              </w:rPr>
              <w:t>（2016年），产生的油泥为危险废物</w:t>
            </w:r>
            <w:r>
              <w:rPr>
                <w:rFonts w:ascii="Times New Roman" w:hAnsi="Times New Roman" w:eastAsiaTheme="minorEastAsia"/>
                <w:sz w:val="28"/>
                <w:szCs w:val="28"/>
              </w:rPr>
              <w:t>（HW08废矿物油与含矿物油废物900-221-08），产生的油泥为废矿物油类危险废物。油泥的清除、运输和处置均由具备该资质的专业公司完成</w:t>
            </w:r>
            <w:r>
              <w:rPr>
                <w:rFonts w:hint="eastAsia" w:ascii="Times New Roman" w:hAnsi="Times New Roman" w:eastAsiaTheme="minorEastAsia"/>
                <w:sz w:val="28"/>
                <w:szCs w:val="28"/>
              </w:rPr>
              <w:t>，</w:t>
            </w:r>
            <w:r>
              <w:rPr>
                <w:rFonts w:ascii="Times New Roman" w:hAnsi="Times New Roman" w:eastAsiaTheme="minorEastAsia"/>
                <w:sz w:val="28"/>
                <w:szCs w:val="28"/>
              </w:rPr>
              <w:t>清除后即运往具有危险废物处理资质的公司处理处置，不在项目场区内贮存。所以本项目厂区内不设置危险废物暂存间，油泥均委托处置。</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③ 废油脂</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项目废油污主要来自隔油池油污、油烟净化器油脂，产生量约为 1.05kg/a，委托环境卫生管理机构收集运输，无害化处置。</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31 </w:t>
            </w:r>
            <w:r>
              <w:rPr>
                <w:rFonts w:ascii="Times New Roman" w:hAnsi="Times New Roman"/>
                <w:b/>
                <w:sz w:val="24"/>
                <w:szCs w:val="24"/>
              </w:rPr>
              <w:t xml:space="preserve">  固体污染物排放及处置方式情况一览表</w:t>
            </w:r>
          </w:p>
          <w:tbl>
            <w:tblPr>
              <w:tblStyle w:val="26"/>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434"/>
              <w:gridCol w:w="1062"/>
              <w:gridCol w:w="914"/>
              <w:gridCol w:w="1228"/>
              <w:gridCol w:w="1126"/>
              <w:gridCol w:w="1832"/>
              <w:gridCol w:w="1127"/>
              <w:gridCol w:w="1399"/>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238" w:type="pct"/>
                  <w:vMerge w:val="restar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序号</w:t>
                  </w:r>
                </w:p>
              </w:tc>
              <w:tc>
                <w:tcPr>
                  <w:tcW w:w="582" w:type="pct"/>
                  <w:vMerge w:val="restar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废物名称</w:t>
                  </w:r>
                </w:p>
              </w:tc>
              <w:tc>
                <w:tcPr>
                  <w:tcW w:w="501" w:type="pct"/>
                  <w:vMerge w:val="restar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固废</w:t>
                  </w:r>
                </w:p>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属性</w:t>
                  </w:r>
                </w:p>
              </w:tc>
              <w:tc>
                <w:tcPr>
                  <w:tcW w:w="1290" w:type="pct"/>
                  <w:gridSpan w:val="2"/>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产生情况</w:t>
                  </w:r>
                </w:p>
              </w:tc>
              <w:tc>
                <w:tcPr>
                  <w:tcW w:w="1622" w:type="pct"/>
                  <w:gridSpan w:val="2"/>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处置措施</w:t>
                  </w:r>
                </w:p>
              </w:tc>
              <w:tc>
                <w:tcPr>
                  <w:tcW w:w="767" w:type="pct"/>
                  <w:vMerge w:val="restar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最终去向</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238" w:type="pct"/>
                  <w:vMerge w:val="continue"/>
                  <w:vAlign w:val="center"/>
                </w:tcPr>
                <w:p>
                  <w:pPr>
                    <w:spacing w:line="300" w:lineRule="auto"/>
                    <w:jc w:val="center"/>
                    <w:rPr>
                      <w:rFonts w:ascii="Times New Roman" w:hAnsi="Times New Roman" w:eastAsiaTheme="minorEastAsia"/>
                      <w:kern w:val="0"/>
                      <w:szCs w:val="21"/>
                    </w:rPr>
                  </w:pPr>
                </w:p>
              </w:tc>
              <w:tc>
                <w:tcPr>
                  <w:tcW w:w="582" w:type="pct"/>
                  <w:vMerge w:val="continue"/>
                  <w:vAlign w:val="center"/>
                </w:tcPr>
                <w:p>
                  <w:pPr>
                    <w:spacing w:line="300" w:lineRule="auto"/>
                    <w:jc w:val="center"/>
                    <w:rPr>
                      <w:rFonts w:ascii="Times New Roman" w:hAnsi="Times New Roman" w:eastAsiaTheme="minorEastAsia"/>
                      <w:kern w:val="0"/>
                      <w:szCs w:val="21"/>
                    </w:rPr>
                  </w:pPr>
                </w:p>
              </w:tc>
              <w:tc>
                <w:tcPr>
                  <w:tcW w:w="501" w:type="pct"/>
                  <w:vMerge w:val="continue"/>
                  <w:vAlign w:val="center"/>
                </w:tcPr>
                <w:p>
                  <w:pPr>
                    <w:spacing w:line="300" w:lineRule="auto"/>
                    <w:jc w:val="center"/>
                    <w:rPr>
                      <w:rFonts w:ascii="Times New Roman" w:hAnsi="Times New Roman" w:eastAsiaTheme="minorEastAsia"/>
                      <w:kern w:val="0"/>
                      <w:szCs w:val="21"/>
                    </w:rPr>
                  </w:pPr>
                </w:p>
              </w:tc>
              <w:tc>
                <w:tcPr>
                  <w:tcW w:w="673"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核算方法</w:t>
                  </w:r>
                </w:p>
              </w:tc>
              <w:tc>
                <w:tcPr>
                  <w:tcW w:w="617"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产生量（t/a）</w:t>
                  </w:r>
                </w:p>
              </w:tc>
              <w:tc>
                <w:tcPr>
                  <w:tcW w:w="1004"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工艺</w:t>
                  </w:r>
                </w:p>
              </w:tc>
              <w:tc>
                <w:tcPr>
                  <w:tcW w:w="618"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处置量</w:t>
                  </w:r>
                </w:p>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/（t/a）</w:t>
                  </w:r>
                </w:p>
              </w:tc>
              <w:tc>
                <w:tcPr>
                  <w:tcW w:w="767" w:type="pct"/>
                  <w:vMerge w:val="continue"/>
                  <w:vAlign w:val="center"/>
                </w:tcPr>
                <w:p>
                  <w:pPr>
                    <w:spacing w:line="300" w:lineRule="auto"/>
                    <w:jc w:val="center"/>
                    <w:rPr>
                      <w:rFonts w:ascii="Times New Roman" w:hAnsi="Times New Roman" w:eastAsiaTheme="minorEastAsia"/>
                      <w:kern w:val="0"/>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238"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1</w:t>
                  </w:r>
                </w:p>
              </w:tc>
              <w:tc>
                <w:tcPr>
                  <w:tcW w:w="582" w:type="pct"/>
                  <w:vAlign w:val="center"/>
                </w:tcPr>
                <w:p>
                  <w:pPr>
                    <w:spacing w:line="300" w:lineRule="auto"/>
                    <w:jc w:val="center"/>
                    <w:rPr>
                      <w:rFonts w:ascii="Times New Roman" w:hAnsi="Times New Roman"/>
                      <w:kern w:val="0"/>
                      <w:szCs w:val="21"/>
                    </w:rPr>
                  </w:pPr>
                  <w:r>
                    <w:rPr>
                      <w:rFonts w:ascii="Times New Roman" w:hAnsi="Times New Roman"/>
                      <w:kern w:val="0"/>
                      <w:szCs w:val="21"/>
                    </w:rPr>
                    <w:t>生活垃圾</w:t>
                  </w:r>
                </w:p>
              </w:tc>
              <w:tc>
                <w:tcPr>
                  <w:tcW w:w="501"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一般</w:t>
                  </w:r>
                </w:p>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固废</w:t>
                  </w:r>
                </w:p>
              </w:tc>
              <w:tc>
                <w:tcPr>
                  <w:tcW w:w="673"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排污系数法</w:t>
                  </w:r>
                </w:p>
              </w:tc>
              <w:tc>
                <w:tcPr>
                  <w:tcW w:w="617" w:type="pct"/>
                  <w:vAlign w:val="center"/>
                </w:tcPr>
                <w:p>
                  <w:pPr>
                    <w:spacing w:line="300" w:lineRule="auto"/>
                    <w:jc w:val="center"/>
                    <w:rPr>
                      <w:rFonts w:ascii="Times New Roman" w:hAnsi="Times New Roman"/>
                      <w:kern w:val="0"/>
                      <w:szCs w:val="21"/>
                    </w:rPr>
                  </w:pPr>
                  <w:r>
                    <w:rPr>
                      <w:rFonts w:hint="eastAsia" w:ascii="Times New Roman" w:hAnsi="Times New Roman"/>
                      <w:kern w:val="0"/>
                      <w:szCs w:val="21"/>
                    </w:rPr>
                    <w:t>1.46</w:t>
                  </w:r>
                </w:p>
              </w:tc>
              <w:tc>
                <w:tcPr>
                  <w:tcW w:w="1004"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送至环卫部门指定的消纳地点</w:t>
                  </w:r>
                </w:p>
              </w:tc>
              <w:tc>
                <w:tcPr>
                  <w:tcW w:w="618" w:type="pct"/>
                  <w:vAlign w:val="center"/>
                </w:tcPr>
                <w:p>
                  <w:pPr>
                    <w:spacing w:line="300" w:lineRule="auto"/>
                    <w:jc w:val="center"/>
                    <w:rPr>
                      <w:rFonts w:ascii="Times New Roman" w:hAnsi="Times New Roman"/>
                      <w:kern w:val="0"/>
                      <w:szCs w:val="21"/>
                    </w:rPr>
                  </w:pPr>
                  <w:r>
                    <w:rPr>
                      <w:rFonts w:hint="eastAsia" w:ascii="Times New Roman" w:hAnsi="Times New Roman"/>
                      <w:kern w:val="0"/>
                      <w:szCs w:val="21"/>
                    </w:rPr>
                    <w:t>1.46</w:t>
                  </w:r>
                </w:p>
              </w:tc>
              <w:tc>
                <w:tcPr>
                  <w:tcW w:w="767"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垃圾填埋场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238" w:type="pct"/>
                  <w:vAlign w:val="center"/>
                </w:tcPr>
                <w:p>
                  <w:pPr>
                    <w:spacing w:line="300" w:lineRule="auto"/>
                    <w:jc w:val="center"/>
                    <w:rPr>
                      <w:rFonts w:ascii="Times New Roman" w:hAnsi="Times New Roman" w:eastAsiaTheme="minorEastAsia"/>
                      <w:kern w:val="0"/>
                      <w:szCs w:val="21"/>
                    </w:rPr>
                  </w:pPr>
                  <w:r>
                    <w:rPr>
                      <w:rFonts w:hint="eastAsia" w:ascii="Times New Roman" w:hAnsi="Times New Roman" w:eastAsiaTheme="minorEastAsia"/>
                      <w:kern w:val="0"/>
                      <w:szCs w:val="21"/>
                    </w:rPr>
                    <w:t>2</w:t>
                  </w:r>
                </w:p>
              </w:tc>
              <w:tc>
                <w:tcPr>
                  <w:tcW w:w="582" w:type="pct"/>
                  <w:vAlign w:val="center"/>
                </w:tcPr>
                <w:p>
                  <w:pPr>
                    <w:spacing w:line="300" w:lineRule="auto"/>
                    <w:jc w:val="center"/>
                    <w:rPr>
                      <w:rFonts w:ascii="Times New Roman" w:hAnsi="Times New Roman"/>
                      <w:kern w:val="0"/>
                      <w:szCs w:val="21"/>
                    </w:rPr>
                  </w:pPr>
                  <w:r>
                    <w:rPr>
                      <w:rFonts w:ascii="Times New Roman" w:hAnsi="Times New Roman"/>
                      <w:kern w:val="0"/>
                      <w:szCs w:val="21"/>
                    </w:rPr>
                    <w:t>油泥</w:t>
                  </w:r>
                </w:p>
              </w:tc>
              <w:tc>
                <w:tcPr>
                  <w:tcW w:w="501"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危险</w:t>
                  </w:r>
                </w:p>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废物</w:t>
                  </w:r>
                </w:p>
              </w:tc>
              <w:tc>
                <w:tcPr>
                  <w:tcW w:w="673"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类比法</w:t>
                  </w:r>
                </w:p>
              </w:tc>
              <w:tc>
                <w:tcPr>
                  <w:tcW w:w="617" w:type="pct"/>
                  <w:vAlign w:val="center"/>
                </w:tcPr>
                <w:p>
                  <w:pPr>
                    <w:spacing w:line="300" w:lineRule="auto"/>
                    <w:jc w:val="center"/>
                    <w:rPr>
                      <w:rFonts w:ascii="Times New Roman" w:hAnsi="Times New Roman"/>
                      <w:kern w:val="0"/>
                      <w:szCs w:val="21"/>
                    </w:rPr>
                  </w:pPr>
                  <w:r>
                    <w:rPr>
                      <w:rFonts w:ascii="Times New Roman" w:hAnsi="Times New Roman"/>
                      <w:kern w:val="0"/>
                      <w:szCs w:val="21"/>
                    </w:rPr>
                    <w:t>0.2 t/3a</w:t>
                  </w:r>
                </w:p>
              </w:tc>
              <w:tc>
                <w:tcPr>
                  <w:tcW w:w="1004"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油泥的清除、运输和处置均由具备该资质的专业公司完成，不暂存</w:t>
                  </w:r>
                </w:p>
              </w:tc>
              <w:tc>
                <w:tcPr>
                  <w:tcW w:w="618" w:type="pct"/>
                  <w:vAlign w:val="center"/>
                </w:tcPr>
                <w:p>
                  <w:pPr>
                    <w:spacing w:line="300" w:lineRule="auto"/>
                    <w:jc w:val="center"/>
                    <w:rPr>
                      <w:rFonts w:ascii="Times New Roman" w:hAnsi="Times New Roman"/>
                      <w:kern w:val="0"/>
                      <w:szCs w:val="21"/>
                    </w:rPr>
                  </w:pPr>
                  <w:r>
                    <w:rPr>
                      <w:rFonts w:ascii="Times New Roman" w:hAnsi="Times New Roman"/>
                      <w:kern w:val="0"/>
                      <w:szCs w:val="21"/>
                    </w:rPr>
                    <w:t>0.2 t/3a</w:t>
                  </w:r>
                </w:p>
              </w:tc>
              <w:tc>
                <w:tcPr>
                  <w:tcW w:w="767"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具有危险废物处理资质的公司处理处置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238" w:type="pct"/>
                  <w:vAlign w:val="center"/>
                </w:tcPr>
                <w:p>
                  <w:pPr>
                    <w:spacing w:line="300" w:lineRule="auto"/>
                    <w:jc w:val="center"/>
                    <w:rPr>
                      <w:rFonts w:ascii="Times New Roman" w:hAnsi="Times New Roman" w:eastAsiaTheme="minorEastAsia"/>
                      <w:kern w:val="0"/>
                      <w:szCs w:val="21"/>
                    </w:rPr>
                  </w:pPr>
                  <w:r>
                    <w:rPr>
                      <w:rFonts w:hint="eastAsia" w:ascii="Times New Roman" w:hAnsi="Times New Roman" w:eastAsiaTheme="minorEastAsia"/>
                      <w:kern w:val="0"/>
                      <w:szCs w:val="21"/>
                    </w:rPr>
                    <w:t>3</w:t>
                  </w:r>
                </w:p>
              </w:tc>
              <w:tc>
                <w:tcPr>
                  <w:tcW w:w="582" w:type="pct"/>
                  <w:vAlign w:val="center"/>
                </w:tcPr>
                <w:p>
                  <w:pPr>
                    <w:spacing w:line="300" w:lineRule="auto"/>
                    <w:jc w:val="center"/>
                    <w:rPr>
                      <w:rFonts w:ascii="Times New Roman" w:hAnsi="Times New Roman"/>
                      <w:kern w:val="0"/>
                      <w:szCs w:val="21"/>
                    </w:rPr>
                  </w:pPr>
                  <w:r>
                    <w:rPr>
                      <w:rFonts w:hint="eastAsia" w:ascii="Times New Roman" w:hAnsi="Times New Roman"/>
                      <w:kern w:val="0"/>
                      <w:szCs w:val="21"/>
                    </w:rPr>
                    <w:t>废油脂</w:t>
                  </w:r>
                </w:p>
              </w:tc>
              <w:tc>
                <w:tcPr>
                  <w:tcW w:w="501" w:type="pct"/>
                  <w:vAlign w:val="center"/>
                </w:tcPr>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一般</w:t>
                  </w:r>
                </w:p>
                <w:p>
                  <w:pPr>
                    <w:spacing w:line="300" w:lineRule="auto"/>
                    <w:jc w:val="center"/>
                    <w:rPr>
                      <w:rFonts w:ascii="Times New Roman" w:hAnsi="Times New Roman" w:eastAsiaTheme="minorEastAsia"/>
                      <w:kern w:val="0"/>
                      <w:szCs w:val="21"/>
                    </w:rPr>
                  </w:pPr>
                  <w:r>
                    <w:rPr>
                      <w:rFonts w:ascii="Times New Roman" w:hAnsi="Times New Roman" w:eastAsiaTheme="minorEastAsia"/>
                      <w:kern w:val="0"/>
                      <w:szCs w:val="21"/>
                    </w:rPr>
                    <w:t>固废</w:t>
                  </w:r>
                </w:p>
              </w:tc>
              <w:tc>
                <w:tcPr>
                  <w:tcW w:w="673" w:type="pct"/>
                  <w:vAlign w:val="center"/>
                </w:tcPr>
                <w:p>
                  <w:pPr>
                    <w:spacing w:line="300" w:lineRule="auto"/>
                    <w:jc w:val="center"/>
                    <w:rPr>
                      <w:rFonts w:ascii="Times New Roman" w:hAnsi="Times New Roman" w:eastAsiaTheme="minorEastAsia"/>
                      <w:kern w:val="0"/>
                      <w:szCs w:val="21"/>
                    </w:rPr>
                  </w:pPr>
                  <w:r>
                    <w:rPr>
                      <w:rFonts w:hint="eastAsia" w:ascii="Times New Roman" w:hAnsi="Times New Roman" w:eastAsiaTheme="minorEastAsia"/>
                      <w:kern w:val="0"/>
                      <w:szCs w:val="21"/>
                    </w:rPr>
                    <w:t>物料衡算</w:t>
                  </w:r>
                </w:p>
              </w:tc>
              <w:tc>
                <w:tcPr>
                  <w:tcW w:w="617" w:type="pct"/>
                  <w:vAlign w:val="center"/>
                </w:tcPr>
                <w:p>
                  <w:pPr>
                    <w:spacing w:line="300" w:lineRule="auto"/>
                    <w:jc w:val="center"/>
                    <w:rPr>
                      <w:rFonts w:ascii="Times New Roman" w:hAnsi="Times New Roman"/>
                      <w:kern w:val="0"/>
                      <w:szCs w:val="21"/>
                    </w:rPr>
                  </w:pPr>
                  <w:r>
                    <w:rPr>
                      <w:rFonts w:ascii="Times New Roman" w:hAnsi="Times New Roman"/>
                      <w:kern w:val="0"/>
                      <w:szCs w:val="21"/>
                    </w:rPr>
                    <w:t>1.05kg/a</w:t>
                  </w:r>
                </w:p>
              </w:tc>
              <w:tc>
                <w:tcPr>
                  <w:tcW w:w="1004" w:type="pct"/>
                  <w:vAlign w:val="center"/>
                </w:tcPr>
                <w:p>
                  <w:pPr>
                    <w:spacing w:line="300" w:lineRule="auto"/>
                    <w:jc w:val="center"/>
                    <w:rPr>
                      <w:rFonts w:ascii="Times New Roman" w:hAnsi="Times New Roman" w:eastAsiaTheme="minorEastAsia"/>
                      <w:kern w:val="0"/>
                      <w:szCs w:val="21"/>
                    </w:rPr>
                  </w:pPr>
                  <w:r>
                    <w:rPr>
                      <w:rFonts w:hint="eastAsia" w:ascii="Times New Roman" w:hAnsi="Times New Roman" w:eastAsiaTheme="minorEastAsia"/>
                      <w:kern w:val="0"/>
                      <w:szCs w:val="21"/>
                    </w:rPr>
                    <w:t>委托环境卫生管理机构收集运输，无害化处置</w:t>
                  </w:r>
                </w:p>
              </w:tc>
              <w:tc>
                <w:tcPr>
                  <w:tcW w:w="618" w:type="pct"/>
                  <w:vAlign w:val="center"/>
                </w:tcPr>
                <w:p>
                  <w:pPr>
                    <w:spacing w:line="300" w:lineRule="auto"/>
                    <w:jc w:val="center"/>
                    <w:rPr>
                      <w:rFonts w:ascii="Times New Roman" w:hAnsi="Times New Roman"/>
                      <w:kern w:val="0"/>
                      <w:szCs w:val="21"/>
                    </w:rPr>
                  </w:pPr>
                  <w:r>
                    <w:rPr>
                      <w:rFonts w:ascii="Times New Roman" w:hAnsi="Times New Roman"/>
                      <w:kern w:val="0"/>
                      <w:szCs w:val="21"/>
                    </w:rPr>
                    <w:t>1.05kg/a</w:t>
                  </w:r>
                </w:p>
              </w:tc>
              <w:tc>
                <w:tcPr>
                  <w:tcW w:w="767" w:type="pct"/>
                  <w:vAlign w:val="center"/>
                </w:tcPr>
                <w:p>
                  <w:pPr>
                    <w:spacing w:line="300" w:lineRule="auto"/>
                    <w:jc w:val="center"/>
                    <w:rPr>
                      <w:rFonts w:ascii="Times New Roman" w:hAnsi="Times New Roman" w:eastAsiaTheme="minorEastAsia"/>
                      <w:kern w:val="0"/>
                      <w:szCs w:val="21"/>
                    </w:rPr>
                  </w:pPr>
                  <w:r>
                    <w:rPr>
                      <w:rFonts w:hint="eastAsia" w:ascii="Times New Roman" w:hAnsi="Times New Roman" w:eastAsiaTheme="minorEastAsia"/>
                      <w:kern w:val="0"/>
                      <w:szCs w:val="21"/>
                    </w:rPr>
                    <w:t>委托环境卫生管理机构收集运输，无害化处置</w:t>
                  </w:r>
                </w:p>
              </w:tc>
            </w:tr>
          </w:tbl>
          <w:p>
            <w:pPr>
              <w:spacing w:line="360" w:lineRule="auto"/>
              <w:ind w:firstLine="560" w:firstLineChars="200"/>
              <w:rPr>
                <w:sz w:val="28"/>
                <w:szCs w:val="28"/>
              </w:rPr>
            </w:pPr>
            <w:r>
              <w:rPr>
                <w:sz w:val="28"/>
                <w:szCs w:val="28"/>
              </w:rPr>
              <w:t>本项目危险废物产生情况如下表所示。</w:t>
            </w:r>
          </w:p>
          <w:p>
            <w:pPr>
              <w:spacing w:line="360" w:lineRule="auto"/>
              <w:jc w:val="center"/>
              <w:rPr>
                <w:b/>
                <w:sz w:val="24"/>
                <w:szCs w:val="24"/>
              </w:rPr>
            </w:pPr>
            <w:r>
              <w:rPr>
                <w:b/>
                <w:sz w:val="24"/>
                <w:szCs w:val="24"/>
              </w:rPr>
              <w:t>表</w:t>
            </w:r>
            <w:r>
              <w:rPr>
                <w:rFonts w:hint="eastAsia"/>
                <w:b/>
                <w:sz w:val="24"/>
                <w:szCs w:val="24"/>
              </w:rPr>
              <w:t xml:space="preserve">31  </w:t>
            </w:r>
            <w:r>
              <w:rPr>
                <w:b/>
                <w:sz w:val="24"/>
                <w:szCs w:val="24"/>
              </w:rPr>
              <w:t xml:space="preserve">    危险废物汇总表</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01"/>
              <w:gridCol w:w="763"/>
              <w:gridCol w:w="903"/>
              <w:gridCol w:w="1005"/>
              <w:gridCol w:w="728"/>
              <w:gridCol w:w="697"/>
              <w:gridCol w:w="516"/>
              <w:gridCol w:w="1040"/>
              <w:gridCol w:w="896"/>
              <w:gridCol w:w="445"/>
              <w:gridCol w:w="531"/>
              <w:gridCol w:w="119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220" w:type="pct"/>
                  <w:vAlign w:val="center"/>
                </w:tcPr>
                <w:p>
                  <w:pPr>
                    <w:topLinePunct/>
                    <w:adjustRightInd w:val="0"/>
                    <w:snapToGrid w:val="0"/>
                    <w:spacing w:line="240" w:lineRule="atLeast"/>
                    <w:jc w:val="center"/>
                    <w:rPr>
                      <w:kern w:val="0"/>
                      <w:sz w:val="15"/>
                      <w:szCs w:val="15"/>
                    </w:rPr>
                  </w:pPr>
                  <w:r>
                    <w:rPr>
                      <w:kern w:val="0"/>
                      <w:sz w:val="15"/>
                      <w:szCs w:val="15"/>
                    </w:rPr>
                    <w:t>序号</w:t>
                  </w:r>
                </w:p>
              </w:tc>
              <w:tc>
                <w:tcPr>
                  <w:tcW w:w="418" w:type="pct"/>
                  <w:vAlign w:val="center"/>
                </w:tcPr>
                <w:p>
                  <w:pPr>
                    <w:topLinePunct/>
                    <w:adjustRightInd w:val="0"/>
                    <w:snapToGrid w:val="0"/>
                    <w:spacing w:line="240" w:lineRule="atLeast"/>
                    <w:jc w:val="center"/>
                    <w:rPr>
                      <w:kern w:val="0"/>
                      <w:sz w:val="15"/>
                      <w:szCs w:val="15"/>
                    </w:rPr>
                  </w:pPr>
                  <w:r>
                    <w:rPr>
                      <w:kern w:val="0"/>
                      <w:sz w:val="15"/>
                      <w:szCs w:val="15"/>
                    </w:rPr>
                    <w:t>危险废物名称</w:t>
                  </w:r>
                </w:p>
              </w:tc>
              <w:tc>
                <w:tcPr>
                  <w:tcW w:w="495" w:type="pct"/>
                  <w:vAlign w:val="center"/>
                </w:tcPr>
                <w:p>
                  <w:pPr>
                    <w:topLinePunct/>
                    <w:adjustRightInd w:val="0"/>
                    <w:snapToGrid w:val="0"/>
                    <w:spacing w:line="240" w:lineRule="atLeast"/>
                    <w:jc w:val="center"/>
                    <w:rPr>
                      <w:kern w:val="0"/>
                      <w:sz w:val="15"/>
                      <w:szCs w:val="15"/>
                    </w:rPr>
                  </w:pPr>
                  <w:r>
                    <w:rPr>
                      <w:kern w:val="0"/>
                      <w:sz w:val="15"/>
                      <w:szCs w:val="15"/>
                    </w:rPr>
                    <w:t>危险废物类别</w:t>
                  </w:r>
                </w:p>
              </w:tc>
              <w:tc>
                <w:tcPr>
                  <w:tcW w:w="551" w:type="pct"/>
                  <w:vAlign w:val="center"/>
                </w:tcPr>
                <w:p>
                  <w:pPr>
                    <w:topLinePunct/>
                    <w:adjustRightInd w:val="0"/>
                    <w:snapToGrid w:val="0"/>
                    <w:spacing w:line="240" w:lineRule="atLeast"/>
                    <w:jc w:val="center"/>
                    <w:rPr>
                      <w:kern w:val="0"/>
                      <w:sz w:val="15"/>
                      <w:szCs w:val="15"/>
                    </w:rPr>
                  </w:pPr>
                  <w:r>
                    <w:rPr>
                      <w:kern w:val="0"/>
                      <w:sz w:val="15"/>
                      <w:szCs w:val="15"/>
                    </w:rPr>
                    <w:t>危险废物代码</w:t>
                  </w:r>
                </w:p>
              </w:tc>
              <w:tc>
                <w:tcPr>
                  <w:tcW w:w="399" w:type="pct"/>
                  <w:vAlign w:val="center"/>
                </w:tcPr>
                <w:p>
                  <w:pPr>
                    <w:topLinePunct/>
                    <w:adjustRightInd w:val="0"/>
                    <w:snapToGrid w:val="0"/>
                    <w:spacing w:line="240" w:lineRule="atLeast"/>
                    <w:jc w:val="center"/>
                    <w:rPr>
                      <w:kern w:val="0"/>
                      <w:sz w:val="15"/>
                      <w:szCs w:val="15"/>
                    </w:rPr>
                  </w:pPr>
                  <w:r>
                    <w:rPr>
                      <w:kern w:val="0"/>
                      <w:sz w:val="15"/>
                      <w:szCs w:val="15"/>
                    </w:rPr>
                    <w:t>产生量</w:t>
                  </w:r>
                </w:p>
              </w:tc>
              <w:tc>
                <w:tcPr>
                  <w:tcW w:w="382" w:type="pct"/>
                  <w:vAlign w:val="center"/>
                </w:tcPr>
                <w:p>
                  <w:pPr>
                    <w:topLinePunct/>
                    <w:adjustRightInd w:val="0"/>
                    <w:snapToGrid w:val="0"/>
                    <w:spacing w:line="240" w:lineRule="atLeast"/>
                    <w:jc w:val="center"/>
                    <w:rPr>
                      <w:kern w:val="0"/>
                      <w:sz w:val="15"/>
                      <w:szCs w:val="15"/>
                    </w:rPr>
                  </w:pPr>
                  <w:r>
                    <w:rPr>
                      <w:kern w:val="0"/>
                      <w:sz w:val="15"/>
                      <w:szCs w:val="15"/>
                    </w:rPr>
                    <w:t>产生工序及装置</w:t>
                  </w:r>
                </w:p>
              </w:tc>
              <w:tc>
                <w:tcPr>
                  <w:tcW w:w="283" w:type="pct"/>
                  <w:vAlign w:val="center"/>
                </w:tcPr>
                <w:p>
                  <w:pPr>
                    <w:topLinePunct/>
                    <w:adjustRightInd w:val="0"/>
                    <w:snapToGrid w:val="0"/>
                    <w:spacing w:line="240" w:lineRule="atLeast"/>
                    <w:jc w:val="center"/>
                    <w:rPr>
                      <w:kern w:val="0"/>
                      <w:sz w:val="15"/>
                      <w:szCs w:val="15"/>
                    </w:rPr>
                  </w:pPr>
                  <w:r>
                    <w:rPr>
                      <w:kern w:val="0"/>
                      <w:sz w:val="15"/>
                      <w:szCs w:val="15"/>
                    </w:rPr>
                    <w:t>形态</w:t>
                  </w:r>
                </w:p>
              </w:tc>
              <w:tc>
                <w:tcPr>
                  <w:tcW w:w="570" w:type="pct"/>
                  <w:vAlign w:val="center"/>
                </w:tcPr>
                <w:p>
                  <w:pPr>
                    <w:topLinePunct/>
                    <w:adjustRightInd w:val="0"/>
                    <w:snapToGrid w:val="0"/>
                    <w:spacing w:line="240" w:lineRule="atLeast"/>
                    <w:jc w:val="center"/>
                    <w:rPr>
                      <w:kern w:val="0"/>
                      <w:sz w:val="15"/>
                      <w:szCs w:val="15"/>
                    </w:rPr>
                  </w:pPr>
                  <w:r>
                    <w:rPr>
                      <w:kern w:val="0"/>
                      <w:sz w:val="15"/>
                      <w:szCs w:val="15"/>
                    </w:rPr>
                    <w:t>主要成分</w:t>
                  </w:r>
                </w:p>
              </w:tc>
              <w:tc>
                <w:tcPr>
                  <w:tcW w:w="491" w:type="pct"/>
                  <w:vAlign w:val="center"/>
                </w:tcPr>
                <w:p>
                  <w:pPr>
                    <w:topLinePunct/>
                    <w:adjustRightInd w:val="0"/>
                    <w:snapToGrid w:val="0"/>
                    <w:spacing w:line="240" w:lineRule="atLeast"/>
                    <w:jc w:val="center"/>
                    <w:rPr>
                      <w:kern w:val="0"/>
                      <w:sz w:val="15"/>
                      <w:szCs w:val="15"/>
                    </w:rPr>
                  </w:pPr>
                  <w:r>
                    <w:rPr>
                      <w:kern w:val="0"/>
                      <w:sz w:val="15"/>
                      <w:szCs w:val="15"/>
                    </w:rPr>
                    <w:t>有害成分</w:t>
                  </w:r>
                </w:p>
              </w:tc>
              <w:tc>
                <w:tcPr>
                  <w:tcW w:w="244" w:type="pct"/>
                  <w:vAlign w:val="center"/>
                </w:tcPr>
                <w:p>
                  <w:pPr>
                    <w:topLinePunct/>
                    <w:adjustRightInd w:val="0"/>
                    <w:snapToGrid w:val="0"/>
                    <w:spacing w:line="240" w:lineRule="atLeast"/>
                    <w:jc w:val="center"/>
                    <w:rPr>
                      <w:kern w:val="0"/>
                      <w:sz w:val="15"/>
                      <w:szCs w:val="15"/>
                    </w:rPr>
                  </w:pPr>
                  <w:r>
                    <w:rPr>
                      <w:kern w:val="0"/>
                      <w:sz w:val="15"/>
                      <w:szCs w:val="15"/>
                    </w:rPr>
                    <w:t>产废周期</w:t>
                  </w:r>
                </w:p>
              </w:tc>
              <w:tc>
                <w:tcPr>
                  <w:tcW w:w="291" w:type="pct"/>
                  <w:vAlign w:val="center"/>
                </w:tcPr>
                <w:p>
                  <w:pPr>
                    <w:topLinePunct/>
                    <w:adjustRightInd w:val="0"/>
                    <w:snapToGrid w:val="0"/>
                    <w:spacing w:line="240" w:lineRule="atLeast"/>
                    <w:jc w:val="center"/>
                    <w:rPr>
                      <w:kern w:val="0"/>
                      <w:sz w:val="15"/>
                      <w:szCs w:val="15"/>
                    </w:rPr>
                  </w:pPr>
                  <w:r>
                    <w:rPr>
                      <w:kern w:val="0"/>
                      <w:sz w:val="15"/>
                      <w:szCs w:val="15"/>
                    </w:rPr>
                    <w:t>危险</w:t>
                  </w:r>
                </w:p>
                <w:p>
                  <w:pPr>
                    <w:topLinePunct/>
                    <w:adjustRightInd w:val="0"/>
                    <w:snapToGrid w:val="0"/>
                    <w:spacing w:line="240" w:lineRule="atLeast"/>
                    <w:jc w:val="center"/>
                    <w:rPr>
                      <w:kern w:val="0"/>
                      <w:sz w:val="15"/>
                      <w:szCs w:val="15"/>
                    </w:rPr>
                  </w:pPr>
                  <w:r>
                    <w:rPr>
                      <w:kern w:val="0"/>
                      <w:sz w:val="15"/>
                      <w:szCs w:val="15"/>
                    </w:rPr>
                    <w:t>特性</w:t>
                  </w:r>
                </w:p>
              </w:tc>
              <w:tc>
                <w:tcPr>
                  <w:tcW w:w="656" w:type="pct"/>
                  <w:vAlign w:val="center"/>
                </w:tcPr>
                <w:p>
                  <w:pPr>
                    <w:topLinePunct/>
                    <w:adjustRightInd w:val="0"/>
                    <w:snapToGrid w:val="0"/>
                    <w:spacing w:line="240" w:lineRule="atLeast"/>
                    <w:jc w:val="center"/>
                    <w:rPr>
                      <w:kern w:val="0"/>
                      <w:sz w:val="15"/>
                      <w:szCs w:val="15"/>
                    </w:rPr>
                  </w:pPr>
                  <w:r>
                    <w:rPr>
                      <w:kern w:val="0"/>
                      <w:sz w:val="15"/>
                      <w:szCs w:val="15"/>
                    </w:rPr>
                    <w:t>污染防治措施*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0" w:type="pct"/>
                  <w:vAlign w:val="center"/>
                </w:tcPr>
                <w:p>
                  <w:pPr>
                    <w:topLinePunct/>
                    <w:adjustRightInd w:val="0"/>
                    <w:snapToGrid w:val="0"/>
                    <w:spacing w:line="240" w:lineRule="atLeast"/>
                    <w:jc w:val="center"/>
                    <w:rPr>
                      <w:kern w:val="0"/>
                      <w:sz w:val="15"/>
                      <w:szCs w:val="15"/>
                    </w:rPr>
                  </w:pPr>
                  <w:r>
                    <w:rPr>
                      <w:kern w:val="0"/>
                      <w:sz w:val="15"/>
                      <w:szCs w:val="15"/>
                    </w:rPr>
                    <w:t>1</w:t>
                  </w:r>
                </w:p>
              </w:tc>
              <w:tc>
                <w:tcPr>
                  <w:tcW w:w="418" w:type="pct"/>
                  <w:vAlign w:val="center"/>
                </w:tcPr>
                <w:p>
                  <w:pPr>
                    <w:topLinePunct/>
                    <w:adjustRightInd w:val="0"/>
                    <w:snapToGrid w:val="0"/>
                    <w:spacing w:line="240" w:lineRule="atLeast"/>
                    <w:jc w:val="center"/>
                    <w:rPr>
                      <w:kern w:val="0"/>
                      <w:sz w:val="15"/>
                      <w:szCs w:val="15"/>
                    </w:rPr>
                  </w:pPr>
                  <w:r>
                    <w:rPr>
                      <w:rFonts w:hint="eastAsia"/>
                      <w:kern w:val="0"/>
                      <w:sz w:val="15"/>
                      <w:szCs w:val="15"/>
                    </w:rPr>
                    <w:t>油泥</w:t>
                  </w:r>
                </w:p>
              </w:tc>
              <w:tc>
                <w:tcPr>
                  <w:tcW w:w="495" w:type="pct"/>
                  <w:vAlign w:val="center"/>
                </w:tcPr>
                <w:p>
                  <w:pPr>
                    <w:topLinePunct/>
                    <w:adjustRightInd w:val="0"/>
                    <w:snapToGrid w:val="0"/>
                    <w:spacing w:line="240" w:lineRule="atLeast"/>
                    <w:jc w:val="center"/>
                    <w:rPr>
                      <w:kern w:val="0"/>
                      <w:sz w:val="15"/>
                      <w:szCs w:val="15"/>
                    </w:rPr>
                  </w:pPr>
                  <w:r>
                    <w:rPr>
                      <w:kern w:val="0"/>
                      <w:sz w:val="15"/>
                      <w:szCs w:val="15"/>
                    </w:rPr>
                    <w:t>HW08</w:t>
                  </w:r>
                </w:p>
                <w:p>
                  <w:pPr>
                    <w:topLinePunct/>
                    <w:adjustRightInd w:val="0"/>
                    <w:snapToGrid w:val="0"/>
                    <w:spacing w:line="240" w:lineRule="atLeast"/>
                    <w:jc w:val="center"/>
                    <w:rPr>
                      <w:kern w:val="0"/>
                      <w:sz w:val="15"/>
                      <w:szCs w:val="15"/>
                    </w:rPr>
                  </w:pPr>
                  <w:r>
                    <w:rPr>
                      <w:rFonts w:hint="eastAsia"/>
                      <w:kern w:val="0"/>
                      <w:sz w:val="15"/>
                      <w:szCs w:val="15"/>
                    </w:rPr>
                    <w:t>废矿物油</w:t>
                  </w:r>
                </w:p>
                <w:p>
                  <w:pPr>
                    <w:topLinePunct/>
                    <w:adjustRightInd w:val="0"/>
                    <w:snapToGrid w:val="0"/>
                    <w:spacing w:line="240" w:lineRule="atLeast"/>
                    <w:jc w:val="center"/>
                    <w:rPr>
                      <w:kern w:val="0"/>
                      <w:sz w:val="15"/>
                      <w:szCs w:val="15"/>
                    </w:rPr>
                  </w:pPr>
                  <w:r>
                    <w:rPr>
                      <w:rFonts w:hint="eastAsia"/>
                      <w:kern w:val="0"/>
                      <w:sz w:val="15"/>
                      <w:szCs w:val="15"/>
                    </w:rPr>
                    <w:t>与含矿物</w:t>
                  </w:r>
                </w:p>
                <w:p>
                  <w:pPr>
                    <w:topLinePunct/>
                    <w:adjustRightInd w:val="0"/>
                    <w:snapToGrid w:val="0"/>
                    <w:spacing w:line="240" w:lineRule="atLeast"/>
                    <w:jc w:val="center"/>
                    <w:rPr>
                      <w:kern w:val="0"/>
                      <w:sz w:val="15"/>
                      <w:szCs w:val="15"/>
                    </w:rPr>
                  </w:pPr>
                  <w:r>
                    <w:rPr>
                      <w:rFonts w:hint="eastAsia"/>
                      <w:kern w:val="0"/>
                      <w:sz w:val="15"/>
                      <w:szCs w:val="15"/>
                    </w:rPr>
                    <w:t>油废物</w:t>
                  </w:r>
                </w:p>
              </w:tc>
              <w:tc>
                <w:tcPr>
                  <w:tcW w:w="551" w:type="pct"/>
                  <w:vAlign w:val="center"/>
                </w:tcPr>
                <w:p>
                  <w:pPr>
                    <w:topLinePunct/>
                    <w:adjustRightInd w:val="0"/>
                    <w:snapToGrid w:val="0"/>
                    <w:spacing w:line="240" w:lineRule="atLeast"/>
                    <w:jc w:val="center"/>
                    <w:rPr>
                      <w:kern w:val="0"/>
                      <w:sz w:val="15"/>
                      <w:szCs w:val="15"/>
                    </w:rPr>
                  </w:pPr>
                  <w:r>
                    <w:rPr>
                      <w:kern w:val="0"/>
                      <w:sz w:val="15"/>
                      <w:szCs w:val="15"/>
                    </w:rPr>
                    <w:t>900-249-08</w:t>
                  </w:r>
                </w:p>
              </w:tc>
              <w:tc>
                <w:tcPr>
                  <w:tcW w:w="399" w:type="pct"/>
                  <w:vAlign w:val="center"/>
                </w:tcPr>
                <w:p>
                  <w:pPr>
                    <w:topLinePunct/>
                    <w:adjustRightInd w:val="0"/>
                    <w:snapToGrid w:val="0"/>
                    <w:spacing w:line="240" w:lineRule="atLeast"/>
                    <w:jc w:val="center"/>
                    <w:rPr>
                      <w:kern w:val="0"/>
                      <w:sz w:val="15"/>
                      <w:szCs w:val="15"/>
                    </w:rPr>
                  </w:pPr>
                  <w:r>
                    <w:rPr>
                      <w:rFonts w:hint="eastAsia"/>
                      <w:kern w:val="0"/>
                      <w:sz w:val="15"/>
                      <w:szCs w:val="15"/>
                    </w:rPr>
                    <w:t>0.2</w:t>
                  </w:r>
                  <w:r>
                    <w:rPr>
                      <w:kern w:val="0"/>
                      <w:sz w:val="15"/>
                      <w:szCs w:val="15"/>
                    </w:rPr>
                    <w:t>t/</w:t>
                  </w:r>
                  <w:r>
                    <w:rPr>
                      <w:rFonts w:hint="eastAsia"/>
                      <w:kern w:val="0"/>
                      <w:sz w:val="15"/>
                      <w:szCs w:val="15"/>
                    </w:rPr>
                    <w:t>3</w:t>
                  </w:r>
                  <w:r>
                    <w:rPr>
                      <w:kern w:val="0"/>
                      <w:sz w:val="15"/>
                      <w:szCs w:val="15"/>
                    </w:rPr>
                    <w:t>a</w:t>
                  </w:r>
                </w:p>
              </w:tc>
              <w:tc>
                <w:tcPr>
                  <w:tcW w:w="382" w:type="pct"/>
                  <w:vAlign w:val="center"/>
                </w:tcPr>
                <w:p>
                  <w:pPr>
                    <w:topLinePunct/>
                    <w:adjustRightInd w:val="0"/>
                    <w:snapToGrid w:val="0"/>
                    <w:spacing w:line="240" w:lineRule="atLeast"/>
                    <w:jc w:val="center"/>
                    <w:rPr>
                      <w:kern w:val="0"/>
                      <w:sz w:val="15"/>
                      <w:szCs w:val="15"/>
                    </w:rPr>
                  </w:pPr>
                  <w:r>
                    <w:rPr>
                      <w:rFonts w:hint="eastAsia"/>
                      <w:kern w:val="0"/>
                      <w:sz w:val="15"/>
                      <w:szCs w:val="15"/>
                    </w:rPr>
                    <w:t>油罐清洗</w:t>
                  </w:r>
                </w:p>
              </w:tc>
              <w:tc>
                <w:tcPr>
                  <w:tcW w:w="283" w:type="pct"/>
                  <w:vAlign w:val="center"/>
                </w:tcPr>
                <w:p>
                  <w:pPr>
                    <w:topLinePunct/>
                    <w:adjustRightInd w:val="0"/>
                    <w:snapToGrid w:val="0"/>
                    <w:spacing w:line="240" w:lineRule="atLeast"/>
                    <w:jc w:val="center"/>
                    <w:rPr>
                      <w:kern w:val="0"/>
                      <w:sz w:val="15"/>
                      <w:szCs w:val="15"/>
                    </w:rPr>
                  </w:pPr>
                  <w:r>
                    <w:rPr>
                      <w:kern w:val="0"/>
                      <w:sz w:val="15"/>
                      <w:szCs w:val="15"/>
                    </w:rPr>
                    <w:t>固态</w:t>
                  </w:r>
                </w:p>
              </w:tc>
              <w:tc>
                <w:tcPr>
                  <w:tcW w:w="570" w:type="pct"/>
                  <w:vAlign w:val="center"/>
                </w:tcPr>
                <w:p>
                  <w:pPr>
                    <w:topLinePunct/>
                    <w:adjustRightInd w:val="0"/>
                    <w:snapToGrid w:val="0"/>
                    <w:spacing w:line="240" w:lineRule="atLeast"/>
                    <w:jc w:val="center"/>
                    <w:rPr>
                      <w:kern w:val="0"/>
                      <w:sz w:val="15"/>
                      <w:szCs w:val="15"/>
                    </w:rPr>
                  </w:pPr>
                  <w:r>
                    <w:rPr>
                      <w:kern w:val="0"/>
                      <w:sz w:val="15"/>
                      <w:szCs w:val="15"/>
                    </w:rPr>
                    <w:t>---</w:t>
                  </w:r>
                </w:p>
              </w:tc>
              <w:tc>
                <w:tcPr>
                  <w:tcW w:w="491" w:type="pct"/>
                  <w:vAlign w:val="center"/>
                </w:tcPr>
                <w:p>
                  <w:pPr>
                    <w:topLinePunct/>
                    <w:adjustRightInd w:val="0"/>
                    <w:snapToGrid w:val="0"/>
                    <w:spacing w:line="240" w:lineRule="atLeast"/>
                    <w:jc w:val="center"/>
                    <w:rPr>
                      <w:kern w:val="0"/>
                      <w:sz w:val="15"/>
                      <w:szCs w:val="15"/>
                    </w:rPr>
                  </w:pPr>
                  <w:r>
                    <w:rPr>
                      <w:kern w:val="0"/>
                      <w:sz w:val="15"/>
                      <w:szCs w:val="15"/>
                    </w:rPr>
                    <w:t>矿物油</w:t>
                  </w:r>
                </w:p>
              </w:tc>
              <w:tc>
                <w:tcPr>
                  <w:tcW w:w="244" w:type="pct"/>
                  <w:vAlign w:val="center"/>
                </w:tcPr>
                <w:p>
                  <w:pPr>
                    <w:topLinePunct/>
                    <w:adjustRightInd w:val="0"/>
                    <w:snapToGrid w:val="0"/>
                    <w:spacing w:line="240" w:lineRule="atLeast"/>
                    <w:jc w:val="center"/>
                    <w:rPr>
                      <w:kern w:val="0"/>
                      <w:sz w:val="15"/>
                      <w:szCs w:val="15"/>
                    </w:rPr>
                  </w:pPr>
                  <w:r>
                    <w:rPr>
                      <w:rFonts w:hint="eastAsia"/>
                      <w:kern w:val="0"/>
                      <w:sz w:val="15"/>
                      <w:szCs w:val="15"/>
                    </w:rPr>
                    <w:t>3年</w:t>
                  </w:r>
                </w:p>
              </w:tc>
              <w:tc>
                <w:tcPr>
                  <w:tcW w:w="291" w:type="pct"/>
                  <w:vAlign w:val="center"/>
                </w:tcPr>
                <w:p>
                  <w:pPr>
                    <w:topLinePunct/>
                    <w:adjustRightInd w:val="0"/>
                    <w:snapToGrid w:val="0"/>
                    <w:spacing w:line="240" w:lineRule="atLeast"/>
                    <w:jc w:val="center"/>
                    <w:rPr>
                      <w:kern w:val="0"/>
                      <w:sz w:val="15"/>
                      <w:szCs w:val="15"/>
                    </w:rPr>
                  </w:pPr>
                  <w:r>
                    <w:rPr>
                      <w:kern w:val="0"/>
                      <w:sz w:val="15"/>
                      <w:szCs w:val="15"/>
                    </w:rPr>
                    <w:t>T</w:t>
                  </w:r>
                </w:p>
              </w:tc>
              <w:tc>
                <w:tcPr>
                  <w:tcW w:w="656" w:type="pct"/>
                  <w:vAlign w:val="center"/>
                </w:tcPr>
                <w:p>
                  <w:pPr>
                    <w:pStyle w:val="92"/>
                    <w:rPr>
                      <w:rFonts w:ascii="Times New Roman" w:hAnsi="Times New Roman" w:cs="Times New Roman"/>
                      <w:kern w:val="0"/>
                      <w:sz w:val="15"/>
                      <w:szCs w:val="15"/>
                    </w:rPr>
                  </w:pPr>
                  <w:r>
                    <w:rPr>
                      <w:rFonts w:hint="eastAsia" w:ascii="Times New Roman" w:hAnsi="Times New Roman" w:cs="Times New Roman"/>
                      <w:kern w:val="0"/>
                      <w:sz w:val="15"/>
                      <w:szCs w:val="15"/>
                    </w:rPr>
                    <w:t>定期由有资质单位清理、回收处理，不存储</w:t>
                  </w:r>
                </w:p>
              </w:tc>
            </w:tr>
          </w:tbl>
          <w:p>
            <w:pPr>
              <w:ind w:firstLine="300" w:firstLineChars="200"/>
              <w:rPr>
                <w:b/>
                <w:sz w:val="15"/>
                <w:szCs w:val="15"/>
              </w:rPr>
            </w:pPr>
            <w:r>
              <w:rPr>
                <w:b/>
                <w:sz w:val="15"/>
                <w:szCs w:val="15"/>
              </w:rPr>
              <w:t>*注：污染防治措施一栏中应列明各类危险废物的贮存、利用或处置的具体方式。对同一贮存区同时存放多种危险废物的，应明确分类、分区、包装存放的具体要求。</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5 环境风险</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项目存在的环境风险主要是加油站可能发生的火灾、爆炸以及泄露对地下水环境的影响等，具体见地下水预测章节，主要起因是管线及储罐泄漏、焊缝开裂、基础工程不合格、管道腐蚀、违规操作、自然灾害等。</w:t>
            </w: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ind w:firstLine="560" w:firstLineChars="200"/>
              <w:rPr>
                <w:rFonts w:ascii="Times New Roman" w:hAnsi="Times New Roman" w:eastAsiaTheme="minorEastAsia"/>
                <w:sz w:val="28"/>
                <w:szCs w:val="28"/>
              </w:rPr>
            </w:pPr>
          </w:p>
          <w:p>
            <w:pPr>
              <w:spacing w:line="360" w:lineRule="auto"/>
              <w:rPr>
                <w:rFonts w:ascii="Times New Roman" w:hAnsi="Times New Roman" w:eastAsiaTheme="minorEastAsia"/>
                <w:sz w:val="28"/>
                <w:szCs w:val="28"/>
              </w:rPr>
            </w:pPr>
          </w:p>
          <w:p>
            <w:pPr>
              <w:tabs>
                <w:tab w:val="left" w:pos="6480"/>
              </w:tabs>
              <w:spacing w:line="500" w:lineRule="exact"/>
              <w:rPr>
                <w:rFonts w:ascii="Times New Roman" w:hAnsi="Times New Roman"/>
                <w:b/>
                <w:sz w:val="30"/>
                <w:szCs w:val="30"/>
              </w:rPr>
            </w:pPr>
          </w:p>
        </w:tc>
      </w:tr>
    </w:tbl>
    <w:p>
      <w:pPr>
        <w:pageBreakBefore/>
        <w:spacing w:line="240" w:lineRule="atLeast"/>
        <w:outlineLvl w:val="0"/>
        <w:rPr>
          <w:rFonts w:ascii="Times New Roman" w:hAnsi="Times New Roman" w:eastAsiaTheme="minorEastAsia"/>
          <w:b/>
          <w:bCs/>
          <w:kern w:val="18"/>
          <w:sz w:val="32"/>
          <w:szCs w:val="28"/>
        </w:rPr>
      </w:pPr>
      <w:bookmarkStart w:id="7" w:name="_Toc536626592"/>
      <w:bookmarkStart w:id="8" w:name="_Toc22855"/>
      <w:bookmarkStart w:id="9" w:name="_Toc27595_WPSOffice_Level1"/>
      <w:r>
        <w:rPr>
          <w:rFonts w:ascii="Times New Roman" w:hAnsi="Times New Roman" w:eastAsiaTheme="minorEastAsia"/>
          <w:b/>
          <w:bCs/>
          <w:kern w:val="18"/>
          <w:sz w:val="32"/>
          <w:szCs w:val="28"/>
        </w:rPr>
        <w:t>项目主要污染物产生及预计排放情况</w:t>
      </w:r>
      <w:bookmarkEnd w:id="7"/>
      <w:bookmarkEnd w:id="8"/>
      <w:bookmarkEnd w:id="9"/>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4"/>
        <w:gridCol w:w="1729"/>
        <w:gridCol w:w="1134"/>
        <w:gridCol w:w="1323"/>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blHeader/>
          <w:jc w:val="center"/>
        </w:trPr>
        <w:tc>
          <w:tcPr>
            <w:tcW w:w="828" w:type="dxa"/>
            <w:tcBorders>
              <w:top w:val="single" w:color="auto" w:sz="4" w:space="0"/>
              <w:left w:val="single" w:color="auto" w:sz="4" w:space="0"/>
              <w:bottom w:val="single" w:color="auto" w:sz="4" w:space="0"/>
              <w:right w:val="single" w:color="auto" w:sz="4" w:space="0"/>
              <w:tl2br w:val="single" w:color="auto" w:sz="4" w:space="0"/>
            </w:tcBorders>
          </w:tcPr>
          <w:p>
            <w:pPr>
              <w:tabs>
                <w:tab w:val="left" w:pos="360"/>
              </w:tabs>
              <w:jc w:val="right"/>
              <w:rPr>
                <w:rFonts w:ascii="Times New Roman" w:hAnsi="Times New Roman"/>
                <w:b/>
                <w:sz w:val="28"/>
                <w:szCs w:val="28"/>
              </w:rPr>
            </w:pPr>
            <w:r>
              <w:rPr>
                <w:rFonts w:ascii="Times New Roman" w:hAnsi="Times New Roman"/>
                <w:b/>
                <w:sz w:val="28"/>
                <w:szCs w:val="28"/>
              </w:rPr>
              <w:t>内容</w:t>
            </w:r>
          </w:p>
          <w:p>
            <w:pPr>
              <w:tabs>
                <w:tab w:val="left" w:pos="360"/>
              </w:tabs>
              <w:rPr>
                <w:rFonts w:ascii="Times New Roman" w:hAnsi="Times New Roman"/>
                <w:b/>
                <w:sz w:val="28"/>
                <w:szCs w:val="28"/>
              </w:rPr>
            </w:pPr>
            <w:r>
              <w:rPr>
                <w:rFonts w:ascii="Times New Roman" w:hAnsi="Times New Roman"/>
                <w:b/>
                <w:sz w:val="28"/>
                <w:szCs w:val="28"/>
              </w:rPr>
              <w:t>类型</w:t>
            </w:r>
          </w:p>
        </w:tc>
        <w:tc>
          <w:tcPr>
            <w:tcW w:w="126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 w:val="28"/>
                <w:szCs w:val="28"/>
              </w:rPr>
            </w:pPr>
            <w:r>
              <w:rPr>
                <w:rFonts w:ascii="Times New Roman" w:hAnsi="Times New Roman"/>
                <w:b/>
                <w:sz w:val="28"/>
                <w:szCs w:val="28"/>
              </w:rPr>
              <w:t>排放源</w:t>
            </w:r>
          </w:p>
          <w:p>
            <w:pPr>
              <w:jc w:val="center"/>
              <w:rPr>
                <w:rFonts w:ascii="Times New Roman" w:hAnsi="Times New Roman"/>
                <w:b/>
                <w:sz w:val="28"/>
                <w:szCs w:val="28"/>
              </w:rPr>
            </w:pPr>
            <w:r>
              <w:rPr>
                <w:rFonts w:ascii="Times New Roman" w:hAnsi="Times New Roman"/>
                <w:b/>
                <w:sz w:val="28"/>
                <w:szCs w:val="28"/>
              </w:rPr>
              <w:t>（编号）</w:t>
            </w:r>
          </w:p>
        </w:tc>
        <w:tc>
          <w:tcPr>
            <w:tcW w:w="172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b/>
                <w:sz w:val="28"/>
                <w:szCs w:val="28"/>
              </w:rPr>
            </w:pPr>
            <w:r>
              <w:rPr>
                <w:rFonts w:ascii="Times New Roman" w:hAnsi="Times New Roman"/>
                <w:b/>
                <w:sz w:val="28"/>
                <w:szCs w:val="28"/>
              </w:rPr>
              <w:t>污染物</w:t>
            </w:r>
          </w:p>
          <w:p>
            <w:pPr>
              <w:spacing w:line="500" w:lineRule="exact"/>
              <w:jc w:val="center"/>
              <w:rPr>
                <w:rFonts w:ascii="Times New Roman" w:hAnsi="Times New Roman"/>
                <w:b/>
                <w:sz w:val="28"/>
                <w:szCs w:val="28"/>
              </w:rPr>
            </w:pPr>
            <w:r>
              <w:rPr>
                <w:rFonts w:ascii="Times New Roman" w:hAnsi="Times New Roman"/>
                <w:b/>
                <w:sz w:val="28"/>
                <w:szCs w:val="28"/>
              </w:rPr>
              <w:t>名称</w:t>
            </w:r>
          </w:p>
        </w:tc>
        <w:tc>
          <w:tcPr>
            <w:tcW w:w="2457"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b/>
                <w:sz w:val="28"/>
                <w:szCs w:val="28"/>
              </w:rPr>
            </w:pPr>
            <w:r>
              <w:rPr>
                <w:rFonts w:ascii="Times New Roman" w:hAnsi="Times New Roman"/>
                <w:b/>
                <w:sz w:val="28"/>
                <w:szCs w:val="28"/>
              </w:rPr>
              <w:t>处理前产生浓度</w:t>
            </w:r>
          </w:p>
          <w:p>
            <w:pPr>
              <w:spacing w:line="500" w:lineRule="exact"/>
              <w:jc w:val="center"/>
              <w:rPr>
                <w:rFonts w:ascii="Times New Roman" w:hAnsi="Times New Roman"/>
                <w:b/>
                <w:sz w:val="28"/>
                <w:szCs w:val="28"/>
              </w:rPr>
            </w:pPr>
            <w:r>
              <w:rPr>
                <w:rFonts w:ascii="Times New Roman" w:hAnsi="Times New Roman"/>
                <w:b/>
                <w:sz w:val="28"/>
                <w:szCs w:val="28"/>
              </w:rPr>
              <w:t>及产生量</w:t>
            </w:r>
          </w:p>
        </w:tc>
        <w:tc>
          <w:tcPr>
            <w:tcW w:w="283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Times New Roman" w:hAnsi="Times New Roman"/>
                <w:b/>
                <w:sz w:val="28"/>
                <w:szCs w:val="28"/>
              </w:rPr>
            </w:pPr>
            <w:r>
              <w:rPr>
                <w:rFonts w:ascii="Times New Roman" w:hAnsi="Times New Roman"/>
                <w:b/>
                <w:sz w:val="28"/>
                <w:szCs w:val="28"/>
              </w:rPr>
              <w:t>排放浓度及</w:t>
            </w:r>
          </w:p>
          <w:p>
            <w:pPr>
              <w:spacing w:line="500" w:lineRule="exact"/>
              <w:jc w:val="center"/>
              <w:rPr>
                <w:rFonts w:ascii="Times New Roman" w:hAnsi="Times New Roman"/>
                <w:b/>
                <w:sz w:val="28"/>
                <w:szCs w:val="28"/>
              </w:rPr>
            </w:pPr>
            <w:r>
              <w:rPr>
                <w:rFonts w:ascii="Times New Roman" w:hAnsi="Times New Roman"/>
                <w:b/>
                <w:sz w:val="28"/>
                <w:szCs w:val="28"/>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4" w:hRule="atLeast"/>
          <w:tblHeader/>
          <w:jc w:val="center"/>
        </w:trPr>
        <w:tc>
          <w:tcPr>
            <w:tcW w:w="828" w:type="dxa"/>
            <w:vMerge w:val="restart"/>
            <w:tcBorders>
              <w:top w:val="single" w:color="auto" w:sz="4" w:space="0"/>
              <w:left w:val="single" w:color="auto" w:sz="4" w:space="0"/>
              <w:right w:val="single" w:color="auto" w:sz="4" w:space="0"/>
            </w:tcBorders>
            <w:textDirection w:val="tbRlV"/>
            <w:vAlign w:val="center"/>
          </w:tcPr>
          <w:p>
            <w:pPr>
              <w:pStyle w:val="10"/>
              <w:jc w:val="center"/>
              <w:rPr>
                <w:rFonts w:ascii="Times New Roman" w:hAnsi="Times New Roman"/>
                <w:b/>
                <w:sz w:val="28"/>
                <w:szCs w:val="28"/>
              </w:rPr>
            </w:pPr>
            <w:r>
              <w:rPr>
                <w:rFonts w:ascii="Times New Roman" w:hAnsi="Times New Roman"/>
                <w:b/>
                <w:sz w:val="28"/>
                <w:szCs w:val="28"/>
              </w:rPr>
              <w:t>大气污染物</w:t>
            </w:r>
          </w:p>
        </w:tc>
        <w:tc>
          <w:tcPr>
            <w:tcW w:w="1264" w:type="dxa"/>
            <w:tcBorders>
              <w:top w:val="single" w:color="auto" w:sz="4" w:space="0"/>
              <w:left w:val="single" w:color="auto" w:sz="4" w:space="0"/>
              <w:right w:val="single" w:color="auto" w:sz="4" w:space="0"/>
            </w:tcBorders>
            <w:vAlign w:val="center"/>
          </w:tcPr>
          <w:p>
            <w:pPr>
              <w:tabs>
                <w:tab w:val="left" w:pos="1080"/>
              </w:tabs>
              <w:ind w:left="-107" w:leftChars="-51" w:right="-107" w:rightChars="-51"/>
              <w:jc w:val="center"/>
              <w:rPr>
                <w:rFonts w:ascii="Times New Roman" w:hAnsi="Times New Roman"/>
                <w:sz w:val="24"/>
              </w:rPr>
            </w:pPr>
            <w:r>
              <w:rPr>
                <w:rFonts w:ascii="Times New Roman" w:hAnsi="Times New Roman"/>
                <w:sz w:val="24"/>
              </w:rPr>
              <w:t>站区</w:t>
            </w:r>
          </w:p>
        </w:tc>
        <w:tc>
          <w:tcPr>
            <w:tcW w:w="17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hint="eastAsia" w:ascii="Times New Roman" w:hAnsi="Times New Roman"/>
                <w:sz w:val="24"/>
              </w:rPr>
              <w:t>挥发性有机物（</w:t>
            </w:r>
            <w:r>
              <w:rPr>
                <w:rFonts w:ascii="Times New Roman" w:hAnsi="Times New Roman"/>
                <w:sz w:val="24"/>
              </w:rPr>
              <w:t>非甲烷</w:t>
            </w:r>
          </w:p>
          <w:p>
            <w:pPr>
              <w:spacing w:line="400" w:lineRule="exact"/>
              <w:jc w:val="center"/>
              <w:rPr>
                <w:rFonts w:ascii="Times New Roman" w:hAnsi="Times New Roman"/>
                <w:sz w:val="24"/>
              </w:rPr>
            </w:pPr>
            <w:r>
              <w:rPr>
                <w:rFonts w:ascii="Times New Roman" w:hAnsi="Times New Roman"/>
                <w:sz w:val="24"/>
              </w:rPr>
              <w:t>总烃</w:t>
            </w:r>
            <w:r>
              <w:rPr>
                <w:rFonts w:hint="eastAsia" w:ascii="Times New Roman" w:hAnsi="Times New Roman"/>
                <w:sz w:val="24"/>
              </w:rPr>
              <w:t>计）</w:t>
            </w:r>
          </w:p>
        </w:tc>
        <w:tc>
          <w:tcPr>
            <w:tcW w:w="245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left="-107" w:leftChars="-51"/>
              <w:jc w:val="center"/>
              <w:rPr>
                <w:rFonts w:ascii="Times New Roman" w:hAnsi="Times New Roman"/>
                <w:sz w:val="24"/>
              </w:rPr>
            </w:pPr>
            <w:r>
              <w:rPr>
                <w:rFonts w:ascii="Times New Roman" w:hAnsi="Times New Roman"/>
                <w:sz w:val="24"/>
                <w:szCs w:val="28"/>
              </w:rPr>
              <w:t>4035</w:t>
            </w:r>
            <w:r>
              <w:rPr>
                <w:rFonts w:hint="eastAsia" w:ascii="Times New Roman" w:hAnsi="Times New Roman"/>
                <w:sz w:val="24"/>
                <w:szCs w:val="28"/>
              </w:rPr>
              <w:t xml:space="preserve"> </w:t>
            </w:r>
            <w:r>
              <w:rPr>
                <w:rFonts w:hint="eastAsia" w:ascii="Times New Roman" w:hAnsi="Times New Roman"/>
                <w:sz w:val="24"/>
              </w:rPr>
              <w:t>kg</w:t>
            </w:r>
            <w:r>
              <w:rPr>
                <w:rFonts w:ascii="Times New Roman" w:hAnsi="Times New Roman"/>
                <w:sz w:val="24"/>
              </w:rPr>
              <w:t>/a</w:t>
            </w:r>
          </w:p>
        </w:tc>
        <w:tc>
          <w:tcPr>
            <w:tcW w:w="2830" w:type="dxa"/>
            <w:tcBorders>
              <w:top w:val="single" w:color="auto" w:sz="4" w:space="0"/>
              <w:left w:val="single" w:color="auto" w:sz="4" w:space="0"/>
              <w:bottom w:val="single" w:color="auto" w:sz="4" w:space="0"/>
              <w:right w:val="single" w:color="auto" w:sz="4" w:space="0"/>
            </w:tcBorders>
            <w:vAlign w:val="center"/>
          </w:tcPr>
          <w:p>
            <w:pPr>
              <w:spacing w:line="400" w:lineRule="exact"/>
              <w:ind w:left="-107" w:leftChars="-51"/>
              <w:jc w:val="center"/>
              <w:rPr>
                <w:rFonts w:ascii="Times New Roman" w:hAnsi="Times New Roman"/>
                <w:sz w:val="24"/>
              </w:rPr>
            </w:pPr>
            <w:r>
              <w:rPr>
                <w:rFonts w:ascii="Times New Roman" w:hAnsi="Times New Roman"/>
                <w:sz w:val="24"/>
                <w:szCs w:val="28"/>
              </w:rPr>
              <w:t>468.55</w:t>
            </w:r>
            <w:r>
              <w:rPr>
                <w:rFonts w:hint="eastAsia" w:ascii="Times New Roman" w:hAnsi="Times New Roman"/>
                <w:sz w:val="24"/>
                <w:szCs w:val="28"/>
              </w:rPr>
              <w:t xml:space="preserve"> </w:t>
            </w:r>
            <w:r>
              <w:rPr>
                <w:rFonts w:hint="eastAsia" w:ascii="Times New Roman" w:hAnsi="Times New Roman"/>
                <w:sz w:val="24"/>
              </w:rPr>
              <w:t>kg</w:t>
            </w:r>
            <w:r>
              <w:rPr>
                <w:rFonts w:ascii="Times New Roman" w:hAnsi="Times New Roman"/>
                <w:sz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4" w:hRule="atLeast"/>
          <w:tblHeader/>
          <w:jc w:val="center"/>
        </w:trPr>
        <w:tc>
          <w:tcPr>
            <w:tcW w:w="828" w:type="dxa"/>
            <w:vMerge w:val="continue"/>
            <w:tcBorders>
              <w:left w:val="single" w:color="auto" w:sz="4" w:space="0"/>
              <w:right w:val="single" w:color="auto" w:sz="4" w:space="0"/>
            </w:tcBorders>
            <w:textDirection w:val="tbRlV"/>
            <w:vAlign w:val="center"/>
          </w:tcPr>
          <w:p>
            <w:pPr>
              <w:pStyle w:val="10"/>
              <w:jc w:val="center"/>
              <w:rPr>
                <w:rFonts w:ascii="Times New Roman" w:hAnsi="Times New Roman"/>
                <w:b/>
                <w:sz w:val="28"/>
                <w:szCs w:val="28"/>
              </w:rPr>
            </w:pPr>
          </w:p>
        </w:tc>
        <w:tc>
          <w:tcPr>
            <w:tcW w:w="1264" w:type="dxa"/>
            <w:tcBorders>
              <w:top w:val="single" w:color="auto" w:sz="4" w:space="0"/>
              <w:left w:val="single" w:color="auto" w:sz="4" w:space="0"/>
              <w:right w:val="single" w:color="auto" w:sz="4" w:space="0"/>
            </w:tcBorders>
            <w:vAlign w:val="center"/>
          </w:tcPr>
          <w:p>
            <w:pPr>
              <w:tabs>
                <w:tab w:val="left" w:pos="1080"/>
              </w:tabs>
              <w:ind w:left="-107" w:leftChars="-51" w:right="-107" w:rightChars="-51"/>
              <w:jc w:val="center"/>
              <w:rPr>
                <w:rFonts w:ascii="Times New Roman" w:hAnsi="Times New Roman"/>
                <w:sz w:val="24"/>
                <w:szCs w:val="24"/>
              </w:rPr>
            </w:pPr>
            <w:r>
              <w:rPr>
                <w:rFonts w:hint="eastAsia" w:ascii="Times New Roman" w:hAnsi="Times New Roman"/>
                <w:sz w:val="24"/>
                <w:szCs w:val="24"/>
              </w:rPr>
              <w:t>食堂</w:t>
            </w:r>
          </w:p>
        </w:tc>
        <w:tc>
          <w:tcPr>
            <w:tcW w:w="17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szCs w:val="24"/>
              </w:rPr>
            </w:pPr>
            <w:r>
              <w:rPr>
                <w:rFonts w:hint="eastAsia" w:ascii="Times New Roman" w:hAnsi="Times New Roman"/>
                <w:sz w:val="24"/>
                <w:szCs w:val="24"/>
              </w:rPr>
              <w:t>油烟</w:t>
            </w:r>
          </w:p>
        </w:tc>
        <w:tc>
          <w:tcPr>
            <w:tcW w:w="245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left="-107" w:leftChars="-51"/>
              <w:jc w:val="center"/>
              <w:rPr>
                <w:rFonts w:ascii="Times New Roman" w:hAnsi="Times New Roman"/>
                <w:sz w:val="24"/>
                <w:szCs w:val="24"/>
              </w:rPr>
            </w:pPr>
            <w:r>
              <w:rPr>
                <w:rFonts w:hint="eastAsia" w:ascii="Times New Roman" w:hAnsi="Times New Roman"/>
                <w:sz w:val="24"/>
                <w:szCs w:val="24"/>
              </w:rPr>
              <w:t>1.75</w:t>
            </w:r>
            <w:r>
              <w:rPr>
                <w:rFonts w:ascii="Times New Roman" w:hAnsi="Times New Roman"/>
                <w:sz w:val="24"/>
                <w:szCs w:val="24"/>
              </w:rPr>
              <w:t xml:space="preserve"> kg/a</w:t>
            </w:r>
            <w:r>
              <w:rPr>
                <w:rFonts w:hint="eastAsia" w:ascii="Times New Roman" w:hAnsi="Times New Roman"/>
                <w:sz w:val="24"/>
                <w:szCs w:val="24"/>
              </w:rPr>
              <w:t>，</w:t>
            </w:r>
            <w:r>
              <w:rPr>
                <w:rFonts w:hint="eastAsia" w:eastAsiaTheme="minorEastAsia"/>
                <w:sz w:val="24"/>
                <w:szCs w:val="24"/>
              </w:rPr>
              <w:t>0.40 mg/m</w:t>
            </w:r>
            <w:r>
              <w:rPr>
                <w:rFonts w:hint="eastAsia" w:eastAsiaTheme="minorEastAsia"/>
                <w:sz w:val="24"/>
                <w:szCs w:val="24"/>
                <w:vertAlign w:val="superscript"/>
              </w:rPr>
              <w:t>3</w:t>
            </w:r>
          </w:p>
        </w:tc>
        <w:tc>
          <w:tcPr>
            <w:tcW w:w="2830" w:type="dxa"/>
            <w:tcBorders>
              <w:top w:val="single" w:color="auto" w:sz="4" w:space="0"/>
              <w:left w:val="single" w:color="auto" w:sz="4" w:space="0"/>
              <w:bottom w:val="single" w:color="auto" w:sz="4" w:space="0"/>
              <w:right w:val="single" w:color="auto" w:sz="4" w:space="0"/>
            </w:tcBorders>
            <w:vAlign w:val="center"/>
          </w:tcPr>
          <w:p>
            <w:pPr>
              <w:spacing w:line="400" w:lineRule="exact"/>
              <w:ind w:left="-107" w:leftChars="-51"/>
              <w:jc w:val="center"/>
              <w:rPr>
                <w:rFonts w:ascii="Times New Roman" w:hAnsi="Times New Roman"/>
                <w:sz w:val="24"/>
                <w:szCs w:val="24"/>
              </w:rPr>
            </w:pPr>
            <w:r>
              <w:rPr>
                <w:rFonts w:ascii="Times New Roman" w:hAnsi="Times New Roman"/>
                <w:sz w:val="24"/>
                <w:szCs w:val="24"/>
              </w:rPr>
              <w:t>0.70 kg/a</w:t>
            </w:r>
            <w:r>
              <w:rPr>
                <w:rFonts w:hint="eastAsia" w:ascii="Times New Roman" w:hAnsi="Times New Roman"/>
                <w:sz w:val="24"/>
                <w:szCs w:val="24"/>
              </w:rPr>
              <w:t>，</w:t>
            </w:r>
            <w:r>
              <w:rPr>
                <w:rFonts w:hint="eastAsia" w:eastAsiaTheme="minorEastAsia"/>
                <w:sz w:val="24"/>
                <w:szCs w:val="24"/>
              </w:rPr>
              <w:t>0.16 mg/m</w:t>
            </w:r>
            <w:r>
              <w:rPr>
                <w:rFonts w:hint="eastAsia" w:eastAsiaTheme="minorEastAsia"/>
                <w:sz w:val="24"/>
                <w:szCs w:val="24"/>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blHeader/>
          <w:jc w:val="center"/>
        </w:trPr>
        <w:tc>
          <w:tcPr>
            <w:tcW w:w="828" w:type="dxa"/>
            <w:vMerge w:val="restart"/>
            <w:tcBorders>
              <w:top w:val="single" w:color="auto" w:sz="4" w:space="0"/>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r>
              <w:rPr>
                <w:rFonts w:ascii="Times New Roman" w:hAnsi="Times New Roman"/>
                <w:b/>
                <w:sz w:val="28"/>
                <w:szCs w:val="28"/>
              </w:rPr>
              <w:t>水污染物</w:t>
            </w:r>
          </w:p>
        </w:tc>
        <w:tc>
          <w:tcPr>
            <w:tcW w:w="1264" w:type="dxa"/>
            <w:vMerge w:val="restart"/>
            <w:tcBorders>
              <w:top w:val="single" w:color="auto" w:sz="4" w:space="0"/>
              <w:left w:val="single" w:color="auto" w:sz="4" w:space="0"/>
              <w:right w:val="single" w:color="auto" w:sz="4" w:space="0"/>
            </w:tcBorders>
            <w:vAlign w:val="center"/>
          </w:tcPr>
          <w:p>
            <w:pPr>
              <w:spacing w:line="440" w:lineRule="exact"/>
              <w:jc w:val="center"/>
              <w:rPr>
                <w:rFonts w:ascii="Times New Roman" w:hAnsi="Times New Roman"/>
                <w:sz w:val="24"/>
              </w:rPr>
            </w:pPr>
            <w:r>
              <w:rPr>
                <w:rFonts w:ascii="Times New Roman" w:hAnsi="Times New Roman"/>
                <w:sz w:val="24"/>
              </w:rPr>
              <w:t>员工</w:t>
            </w:r>
          </w:p>
          <w:p>
            <w:pPr>
              <w:spacing w:line="440" w:lineRule="exact"/>
              <w:jc w:val="center"/>
              <w:rPr>
                <w:rFonts w:ascii="Times New Roman" w:hAnsi="Times New Roman"/>
                <w:sz w:val="24"/>
              </w:rPr>
            </w:pPr>
            <w:r>
              <w:rPr>
                <w:rFonts w:ascii="Times New Roman" w:hAnsi="Times New Roman"/>
                <w:sz w:val="24"/>
              </w:rPr>
              <w:t>生活</w:t>
            </w:r>
          </w:p>
          <w:p>
            <w:pPr>
              <w:spacing w:line="440" w:lineRule="exact"/>
              <w:jc w:val="center"/>
              <w:rPr>
                <w:rFonts w:ascii="Times New Roman" w:hAnsi="Times New Roman"/>
                <w:sz w:val="24"/>
              </w:rPr>
            </w:pPr>
            <w:r>
              <w:rPr>
                <w:rFonts w:ascii="Times New Roman" w:hAnsi="Times New Roman"/>
                <w:sz w:val="24"/>
              </w:rPr>
              <w:t>污水</w:t>
            </w:r>
          </w:p>
        </w:tc>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COD</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lang w:val="fr-FR"/>
              </w:rPr>
              <w:t>300mg/L</w:t>
            </w:r>
          </w:p>
        </w:tc>
        <w:tc>
          <w:tcPr>
            <w:tcW w:w="132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0.0</w:t>
            </w:r>
            <w:r>
              <w:rPr>
                <w:rFonts w:hint="eastAsia" w:ascii="Times New Roman" w:hAnsi="Times New Roman"/>
                <w:sz w:val="24"/>
              </w:rPr>
              <w:t>21</w:t>
            </w:r>
            <w:r>
              <w:rPr>
                <w:rFonts w:ascii="Times New Roman" w:hAnsi="Times New Roman"/>
                <w:sz w:val="24"/>
                <w:lang w:val="fr-FR"/>
              </w:rPr>
              <w:t>t/a</w:t>
            </w:r>
          </w:p>
        </w:tc>
        <w:tc>
          <w:tcPr>
            <w:tcW w:w="2830"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 w:val="24"/>
              </w:rPr>
            </w:pPr>
            <w:r>
              <w:rPr>
                <w:rFonts w:hint="eastAsia" w:ascii="Times New Roman" w:hAnsi="Times New Roman"/>
                <w:sz w:val="24"/>
              </w:rPr>
              <w:t>生活废水排至站内防渗旱厕，定期清掏，外运堆肥。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828" w:type="dxa"/>
            <w:vMerge w:val="continue"/>
            <w:tcBorders>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p>
        </w:tc>
        <w:tc>
          <w:tcPr>
            <w:tcW w:w="1264" w:type="dxa"/>
            <w:vMerge w:val="continue"/>
            <w:tcBorders>
              <w:left w:val="single" w:color="auto" w:sz="4" w:space="0"/>
              <w:right w:val="single" w:color="auto" w:sz="4" w:space="0"/>
            </w:tcBorders>
            <w:vAlign w:val="center"/>
          </w:tcPr>
          <w:p>
            <w:pPr>
              <w:spacing w:line="440" w:lineRule="exact"/>
              <w:jc w:val="center"/>
              <w:rPr>
                <w:rFonts w:ascii="Times New Roman" w:hAnsi="Times New Roman"/>
                <w:sz w:val="24"/>
              </w:rPr>
            </w:pPr>
          </w:p>
        </w:tc>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SS</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lang w:val="fr-FR"/>
              </w:rPr>
            </w:pPr>
            <w:r>
              <w:rPr>
                <w:rFonts w:ascii="Times New Roman" w:hAnsi="Times New Roman"/>
                <w:sz w:val="24"/>
                <w:lang w:val="fr-FR"/>
              </w:rPr>
              <w:t>200mg/L</w:t>
            </w:r>
          </w:p>
        </w:tc>
        <w:tc>
          <w:tcPr>
            <w:tcW w:w="132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0.00</w:t>
            </w:r>
            <w:r>
              <w:rPr>
                <w:rFonts w:hint="eastAsia" w:ascii="Times New Roman" w:hAnsi="Times New Roman"/>
                <w:sz w:val="24"/>
              </w:rPr>
              <w:t>1</w:t>
            </w:r>
            <w:r>
              <w:rPr>
                <w:rFonts w:ascii="Times New Roman" w:hAnsi="Times New Roman"/>
                <w:sz w:val="24"/>
              </w:rPr>
              <w:t>8</w:t>
            </w:r>
            <w:r>
              <w:rPr>
                <w:rFonts w:ascii="Times New Roman" w:hAnsi="Times New Roman"/>
                <w:sz w:val="24"/>
                <w:lang w:val="fr-FR"/>
              </w:rPr>
              <w:t>t/a</w:t>
            </w:r>
          </w:p>
        </w:tc>
        <w:tc>
          <w:tcPr>
            <w:tcW w:w="2830" w:type="dxa"/>
            <w:vMerge w:val="continue"/>
            <w:tcBorders>
              <w:left w:val="single" w:color="auto" w:sz="4" w:space="0"/>
              <w:right w:val="single" w:color="auto" w:sz="4" w:space="0"/>
            </w:tcBorders>
            <w:vAlign w:val="center"/>
          </w:tcPr>
          <w:p>
            <w:pPr>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tblHeader/>
          <w:jc w:val="center"/>
        </w:trPr>
        <w:tc>
          <w:tcPr>
            <w:tcW w:w="828" w:type="dxa"/>
            <w:vMerge w:val="continue"/>
            <w:tcBorders>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p>
        </w:tc>
        <w:tc>
          <w:tcPr>
            <w:tcW w:w="1264" w:type="dxa"/>
            <w:vMerge w:val="continue"/>
            <w:tcBorders>
              <w:left w:val="single" w:color="auto" w:sz="4" w:space="0"/>
              <w:bottom w:val="single" w:color="auto" w:sz="4" w:space="0"/>
              <w:right w:val="single" w:color="auto" w:sz="4" w:space="0"/>
            </w:tcBorders>
            <w:vAlign w:val="center"/>
          </w:tcPr>
          <w:p>
            <w:pPr>
              <w:spacing w:line="440" w:lineRule="exact"/>
              <w:jc w:val="center"/>
              <w:rPr>
                <w:rFonts w:ascii="Times New Roman" w:hAnsi="Times New Roman"/>
                <w:sz w:val="24"/>
              </w:rPr>
            </w:pPr>
          </w:p>
        </w:tc>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rPr>
            </w:pPr>
            <w:r>
              <w:rPr>
                <w:rFonts w:ascii="Times New Roman" w:hAnsi="Times New Roman"/>
                <w:sz w:val="24"/>
              </w:rPr>
              <w:t>氨氮</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 w:val="24"/>
                <w:lang w:val="fr-FR"/>
              </w:rPr>
            </w:pPr>
            <w:r>
              <w:rPr>
                <w:rFonts w:ascii="Times New Roman" w:hAnsi="Times New Roman"/>
                <w:sz w:val="24"/>
              </w:rPr>
              <w:t>25mg/L</w:t>
            </w:r>
          </w:p>
        </w:tc>
        <w:tc>
          <w:tcPr>
            <w:tcW w:w="1323" w:type="dxa"/>
            <w:tcBorders>
              <w:top w:val="single" w:color="auto" w:sz="4" w:space="0"/>
              <w:left w:val="single" w:color="auto" w:sz="4" w:space="0"/>
              <w:bottom w:val="single" w:color="auto" w:sz="4" w:space="0"/>
              <w:right w:val="single" w:color="auto" w:sz="4" w:space="0"/>
            </w:tcBorders>
            <w:vAlign w:val="center"/>
          </w:tcPr>
          <w:p>
            <w:pPr>
              <w:ind w:left="-2" w:leftChars="-1"/>
              <w:jc w:val="center"/>
              <w:rPr>
                <w:rFonts w:ascii="Times New Roman" w:hAnsi="Times New Roman"/>
                <w:sz w:val="24"/>
              </w:rPr>
            </w:pPr>
            <w:r>
              <w:rPr>
                <w:rFonts w:ascii="Times New Roman" w:hAnsi="Times New Roman"/>
                <w:sz w:val="24"/>
              </w:rPr>
              <w:t>0.001</w:t>
            </w:r>
            <w:r>
              <w:rPr>
                <w:rFonts w:hint="eastAsia" w:ascii="Times New Roman" w:hAnsi="Times New Roman"/>
                <w:sz w:val="24"/>
              </w:rPr>
              <w:t>4</w:t>
            </w:r>
            <w:r>
              <w:rPr>
                <w:rFonts w:ascii="Times New Roman" w:hAnsi="Times New Roman"/>
                <w:sz w:val="24"/>
                <w:lang w:val="fr-FR"/>
              </w:rPr>
              <w:t>t/a</w:t>
            </w:r>
          </w:p>
        </w:tc>
        <w:tc>
          <w:tcPr>
            <w:tcW w:w="2830" w:type="dxa"/>
            <w:vMerge w:val="continue"/>
            <w:tcBorders>
              <w:left w:val="single" w:color="auto" w:sz="4" w:space="0"/>
              <w:bottom w:val="single" w:color="auto" w:sz="4" w:space="0"/>
              <w:right w:val="single" w:color="auto" w:sz="4" w:space="0"/>
            </w:tcBorders>
            <w:vAlign w:val="center"/>
          </w:tcPr>
          <w:p>
            <w:pPr>
              <w:ind w:left="-2" w:leftChars="-1"/>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blHeader/>
          <w:jc w:val="center"/>
        </w:trPr>
        <w:tc>
          <w:tcPr>
            <w:tcW w:w="828" w:type="dxa"/>
            <w:vMerge w:val="restart"/>
            <w:tcBorders>
              <w:top w:val="single" w:color="auto" w:sz="4" w:space="0"/>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r>
              <w:rPr>
                <w:rFonts w:ascii="Times New Roman" w:hAnsi="Times New Roman"/>
                <w:b/>
                <w:sz w:val="28"/>
                <w:szCs w:val="28"/>
              </w:rPr>
              <w:t>固体废物</w:t>
            </w:r>
          </w:p>
        </w:tc>
        <w:tc>
          <w:tcPr>
            <w:tcW w:w="12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员工生活</w:t>
            </w:r>
          </w:p>
        </w:tc>
        <w:tc>
          <w:tcPr>
            <w:tcW w:w="17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生活垃圾</w:t>
            </w:r>
          </w:p>
        </w:tc>
        <w:tc>
          <w:tcPr>
            <w:tcW w:w="245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1.46 t/a</w:t>
            </w:r>
          </w:p>
        </w:tc>
        <w:tc>
          <w:tcPr>
            <w:tcW w:w="2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pacing w:val="-2"/>
                <w:sz w:val="24"/>
              </w:rPr>
            </w:pPr>
            <w:r>
              <w:rPr>
                <w:rFonts w:ascii="Times New Roman" w:hAnsi="Times New Roman"/>
                <w:sz w:val="24"/>
              </w:rPr>
              <w:t>1.46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jc w:val="center"/>
        </w:trPr>
        <w:tc>
          <w:tcPr>
            <w:tcW w:w="828" w:type="dxa"/>
            <w:vMerge w:val="continue"/>
            <w:tcBorders>
              <w:top w:val="single" w:color="auto" w:sz="4" w:space="0"/>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p>
        </w:tc>
        <w:tc>
          <w:tcPr>
            <w:tcW w:w="12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hint="eastAsia" w:ascii="Times New Roman" w:hAnsi="Times New Roman"/>
                <w:sz w:val="24"/>
              </w:rPr>
              <w:t>食堂</w:t>
            </w:r>
          </w:p>
        </w:tc>
        <w:tc>
          <w:tcPr>
            <w:tcW w:w="17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hint="eastAsia" w:ascii="Times New Roman" w:hAnsi="Times New Roman"/>
                <w:sz w:val="24"/>
              </w:rPr>
              <w:t>废油脂</w:t>
            </w:r>
          </w:p>
        </w:tc>
        <w:tc>
          <w:tcPr>
            <w:tcW w:w="245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1.05kg/a</w:t>
            </w:r>
          </w:p>
        </w:tc>
        <w:tc>
          <w:tcPr>
            <w:tcW w:w="2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1.05kg/a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tblHeader/>
          <w:jc w:val="center"/>
        </w:trPr>
        <w:tc>
          <w:tcPr>
            <w:tcW w:w="828" w:type="dxa"/>
            <w:vMerge w:val="continue"/>
            <w:tcBorders>
              <w:left w:val="single" w:color="auto" w:sz="4" w:space="0"/>
              <w:right w:val="single" w:color="auto" w:sz="4" w:space="0"/>
            </w:tcBorders>
            <w:vAlign w:val="center"/>
          </w:tcPr>
          <w:p>
            <w:pPr>
              <w:widowControl/>
              <w:jc w:val="left"/>
              <w:rPr>
                <w:rFonts w:ascii="Times New Roman" w:hAnsi="Times New Roman"/>
                <w:b/>
                <w:sz w:val="28"/>
                <w:szCs w:val="28"/>
              </w:rPr>
            </w:pPr>
          </w:p>
        </w:tc>
        <w:tc>
          <w:tcPr>
            <w:tcW w:w="12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bCs/>
                <w:sz w:val="24"/>
              </w:rPr>
            </w:pPr>
            <w:r>
              <w:rPr>
                <w:rFonts w:ascii="Times New Roman" w:hAnsi="Times New Roman"/>
                <w:bCs/>
                <w:sz w:val="24"/>
              </w:rPr>
              <w:t>地下</w:t>
            </w:r>
          </w:p>
          <w:p>
            <w:pPr>
              <w:spacing w:line="400" w:lineRule="exact"/>
              <w:jc w:val="center"/>
              <w:rPr>
                <w:rFonts w:ascii="Times New Roman" w:hAnsi="Times New Roman"/>
                <w:sz w:val="24"/>
              </w:rPr>
            </w:pPr>
            <w:r>
              <w:rPr>
                <w:rFonts w:ascii="Times New Roman" w:hAnsi="Times New Roman"/>
                <w:bCs/>
                <w:sz w:val="24"/>
              </w:rPr>
              <w:t>储油罐</w:t>
            </w:r>
          </w:p>
        </w:tc>
        <w:tc>
          <w:tcPr>
            <w:tcW w:w="17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油泥</w:t>
            </w:r>
          </w:p>
        </w:tc>
        <w:tc>
          <w:tcPr>
            <w:tcW w:w="2457" w:type="dxa"/>
            <w:gridSpan w:val="2"/>
            <w:tcBorders>
              <w:top w:val="single" w:color="auto" w:sz="4" w:space="0"/>
              <w:left w:val="single" w:color="auto" w:sz="4" w:space="0"/>
              <w:bottom w:val="single" w:color="auto" w:sz="4" w:space="0"/>
              <w:right w:val="single" w:color="auto" w:sz="4" w:space="0"/>
            </w:tcBorders>
            <w:vAlign w:val="center"/>
          </w:tcPr>
          <w:p>
            <w:pPr>
              <w:pStyle w:val="3"/>
              <w:ind w:left="-5" w:leftChars="-10" w:hanging="16" w:hangingChars="7"/>
              <w:rPr>
                <w:sz w:val="24"/>
                <w:szCs w:val="24"/>
              </w:rPr>
            </w:pPr>
            <w:r>
              <w:rPr>
                <w:rFonts w:hint="eastAsia"/>
                <w:sz w:val="24"/>
                <w:szCs w:val="24"/>
              </w:rPr>
              <w:t>0.2 t/3a</w:t>
            </w:r>
          </w:p>
        </w:tc>
        <w:tc>
          <w:tcPr>
            <w:tcW w:w="2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pacing w:val="-2"/>
                <w:sz w:val="24"/>
              </w:rPr>
            </w:pPr>
            <w:r>
              <w:rPr>
                <w:rFonts w:hint="eastAsia" w:ascii="Times New Roman" w:hAnsi="Times New Roman"/>
                <w:spacing w:val="-2"/>
                <w:sz w:val="24"/>
              </w:rPr>
              <w:t>0.2 t/3a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9" w:hRule="atLeast"/>
          <w:tblHeader/>
          <w:jc w:val="center"/>
        </w:trPr>
        <w:tc>
          <w:tcPr>
            <w:tcW w:w="828"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r>
              <w:rPr>
                <w:rFonts w:ascii="Times New Roman" w:hAnsi="Times New Roman"/>
                <w:b/>
                <w:sz w:val="28"/>
                <w:szCs w:val="28"/>
              </w:rPr>
              <w:t>噪 声</w:t>
            </w:r>
          </w:p>
        </w:tc>
        <w:tc>
          <w:tcPr>
            <w:tcW w:w="12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设备运行及车辆</w:t>
            </w:r>
          </w:p>
        </w:tc>
        <w:tc>
          <w:tcPr>
            <w:tcW w:w="172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噪声</w:t>
            </w:r>
          </w:p>
        </w:tc>
        <w:tc>
          <w:tcPr>
            <w:tcW w:w="245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55-80dB(A)</w:t>
            </w:r>
          </w:p>
        </w:tc>
        <w:tc>
          <w:tcPr>
            <w:tcW w:w="283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4"/>
              </w:rPr>
            </w:pPr>
            <w:r>
              <w:rPr>
                <w:rFonts w:ascii="Times New Roman" w:hAnsi="Times New Roman"/>
                <w:sz w:val="24"/>
              </w:rPr>
              <w:t>55-65 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7" w:hRule="atLeast"/>
          <w:tblHeader/>
          <w:jc w:val="center"/>
        </w:trPr>
        <w:tc>
          <w:tcPr>
            <w:tcW w:w="9108" w:type="dxa"/>
            <w:gridSpan w:val="6"/>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b/>
                <w:bCs/>
                <w:sz w:val="24"/>
              </w:rPr>
            </w:pPr>
            <w:r>
              <w:rPr>
                <w:rFonts w:ascii="Times New Roman" w:hAnsi="Times New Roman"/>
                <w:b/>
                <w:bCs/>
                <w:sz w:val="24"/>
              </w:rPr>
              <w:t>主要生态影响</w:t>
            </w:r>
          </w:p>
          <w:p>
            <w:pPr>
              <w:snapToGrid w:val="0"/>
              <w:spacing w:line="520" w:lineRule="exact"/>
              <w:ind w:firstLine="480" w:firstLineChars="200"/>
              <w:jc w:val="left"/>
              <w:rPr>
                <w:rFonts w:ascii="Times New Roman" w:hAnsi="Times New Roman"/>
                <w:sz w:val="24"/>
              </w:rPr>
            </w:pPr>
            <w:r>
              <w:rPr>
                <w:rFonts w:ascii="Times New Roman" w:hAnsi="Times New Roman"/>
                <w:sz w:val="24"/>
              </w:rPr>
              <w:t>项目充分利用厂区周围</w:t>
            </w:r>
            <w:r>
              <w:rPr>
                <w:rFonts w:hint="eastAsia" w:ascii="Times New Roman" w:hAnsi="Times New Roman"/>
                <w:sz w:val="24"/>
              </w:rPr>
              <w:t>土地</w:t>
            </w:r>
            <w:r>
              <w:rPr>
                <w:rFonts w:ascii="Times New Roman" w:hAnsi="Times New Roman"/>
                <w:sz w:val="24"/>
              </w:rPr>
              <w:t>进行绿化，增加绿化面积，合理选择草皮、花卉等品种，乔灌结合，选用常绿品种，起到美化、净化作用，降低厂区对周围环境的影响，对生态环境的改善有一定的意义。</w:t>
            </w:r>
          </w:p>
        </w:tc>
      </w:tr>
    </w:tbl>
    <w:p>
      <w:pPr>
        <w:pageBreakBefore/>
        <w:spacing w:line="240" w:lineRule="atLeast"/>
        <w:outlineLvl w:val="0"/>
        <w:rPr>
          <w:rFonts w:ascii="Times New Roman" w:hAnsi="Times New Roman" w:eastAsiaTheme="minorEastAsia"/>
          <w:b/>
          <w:bCs/>
          <w:kern w:val="18"/>
          <w:sz w:val="32"/>
          <w:szCs w:val="28"/>
        </w:rPr>
      </w:pPr>
      <w:bookmarkStart w:id="10" w:name="_Toc536626593"/>
      <w:bookmarkStart w:id="11" w:name="_Toc27970"/>
      <w:bookmarkStart w:id="12" w:name="_Toc20363_WPSOffice_Level1"/>
      <w:r>
        <w:rPr>
          <w:rFonts w:ascii="Times New Roman" w:hAnsi="Times New Roman" w:eastAsiaTheme="minorEastAsia"/>
          <w:b/>
          <w:bCs/>
          <w:kern w:val="18"/>
          <w:sz w:val="32"/>
          <w:szCs w:val="28"/>
        </w:rPr>
        <w:t>环境影响分析</w:t>
      </w:r>
      <w:bookmarkEnd w:id="10"/>
      <w:bookmarkEnd w:id="11"/>
      <w:bookmarkEnd w:id="12"/>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2" w:hRule="atLeast"/>
          <w:jc w:val="center"/>
        </w:trPr>
        <w:tc>
          <w:tcPr>
            <w:tcW w:w="907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b/>
                <w:bCs/>
                <w:sz w:val="28"/>
                <w:szCs w:val="28"/>
              </w:rPr>
            </w:pPr>
            <w:r>
              <w:rPr>
                <w:rFonts w:ascii="Times New Roman" w:hAnsi="Times New Roman"/>
                <w:b/>
                <w:bCs/>
                <w:sz w:val="28"/>
                <w:szCs w:val="28"/>
              </w:rPr>
              <w:t>一、施工期环境影响简要分析</w:t>
            </w:r>
          </w:p>
          <w:p>
            <w:pPr>
              <w:spacing w:line="360" w:lineRule="auto"/>
              <w:ind w:firstLine="560" w:firstLineChars="200"/>
              <w:jc w:val="left"/>
              <w:rPr>
                <w:rFonts w:ascii="Times New Roman" w:hAnsi="Times New Roman"/>
                <w:sz w:val="28"/>
                <w:szCs w:val="28"/>
              </w:rPr>
            </w:pPr>
            <w:r>
              <w:rPr>
                <w:rFonts w:ascii="Times New Roman" w:hAnsi="Times New Roman"/>
                <w:sz w:val="28"/>
                <w:szCs w:val="28"/>
              </w:rPr>
              <w:t>项目施工过程中将对环境空气、地表水、声环境、</w:t>
            </w:r>
            <w:r>
              <w:rPr>
                <w:rFonts w:hint="eastAsia" w:ascii="Times New Roman" w:hAnsi="Times New Roman"/>
                <w:sz w:val="28"/>
                <w:szCs w:val="28"/>
              </w:rPr>
              <w:t>固体废物</w:t>
            </w:r>
            <w:r>
              <w:rPr>
                <w:rFonts w:ascii="Times New Roman" w:hAnsi="Times New Roman"/>
                <w:sz w:val="28"/>
                <w:szCs w:val="28"/>
              </w:rPr>
              <w:t>产生的影响，现进行简要分析。</w:t>
            </w:r>
          </w:p>
          <w:p>
            <w:pPr>
              <w:spacing w:line="360" w:lineRule="auto"/>
              <w:ind w:firstLine="560" w:firstLineChars="200"/>
              <w:rPr>
                <w:rFonts w:ascii="Times New Roman" w:hAnsi="Times New Roman"/>
                <w:sz w:val="28"/>
                <w:szCs w:val="28"/>
              </w:rPr>
            </w:pPr>
            <w:r>
              <w:rPr>
                <w:rFonts w:ascii="Times New Roman" w:hAnsi="Times New Roman"/>
                <w:sz w:val="28"/>
                <w:szCs w:val="28"/>
              </w:rPr>
              <w:t>1 废气</w:t>
            </w:r>
          </w:p>
          <w:p>
            <w:pPr>
              <w:spacing w:line="360" w:lineRule="auto"/>
              <w:ind w:firstLine="560" w:firstLineChars="200"/>
              <w:rPr>
                <w:rFonts w:ascii="Times New Roman" w:hAnsi="Times New Roman"/>
                <w:sz w:val="28"/>
                <w:szCs w:val="28"/>
              </w:rPr>
            </w:pPr>
            <w:r>
              <w:rPr>
                <w:rFonts w:ascii="Times New Roman" w:hAnsi="Times New Roman"/>
                <w:sz w:val="28"/>
                <w:szCs w:val="28"/>
              </w:rPr>
              <w:t>该项目施工期主要是土建工程，施工时产生粉尘、材料运输、建筑垃圾清运时产生的扬尘，其产生量很小影响范围不大，施工期结束即消失。为了减少施工期的环境空气污染，施工现场周边应设置围挡，对施工现场内的施工道路进行硬质覆盖；粉性建筑材料(如砂石等)应当采取封闭、遮盖等有效防尘措施；建筑材料运输车要用苫布盖好；现场装卸产生扬尘的物质、清理平整场地等活动时应当采取湿式作业等有效防尘措施。施工单位应当按照有关规定使用预拌混凝土，不得擅自在施工现场搅拌混凝土。施工车辆必须装有尾气净化装置，使污染降到最低。严格执行文明施工，建筑材料不允许乱堆乱放。</w:t>
            </w:r>
          </w:p>
          <w:p>
            <w:pPr>
              <w:spacing w:line="360" w:lineRule="auto"/>
              <w:ind w:firstLine="560" w:firstLineChars="200"/>
              <w:rPr>
                <w:rFonts w:ascii="Times New Roman" w:hAnsi="Times New Roman"/>
                <w:sz w:val="28"/>
                <w:szCs w:val="28"/>
              </w:rPr>
            </w:pPr>
            <w:r>
              <w:rPr>
                <w:rFonts w:ascii="Times New Roman" w:hAnsi="Times New Roman"/>
                <w:sz w:val="28"/>
                <w:szCs w:val="28"/>
              </w:rPr>
              <w:t>2 废水</w:t>
            </w:r>
          </w:p>
          <w:p>
            <w:pPr>
              <w:spacing w:line="360" w:lineRule="auto"/>
              <w:ind w:firstLine="560" w:firstLineChars="200"/>
              <w:rPr>
                <w:rFonts w:ascii="Times New Roman" w:hAnsi="Times New Roman"/>
                <w:sz w:val="28"/>
                <w:szCs w:val="28"/>
              </w:rPr>
            </w:pPr>
            <w:r>
              <w:rPr>
                <w:rFonts w:ascii="Times New Roman" w:hAnsi="Times New Roman"/>
                <w:sz w:val="28"/>
                <w:szCs w:val="28"/>
              </w:rPr>
              <w:t>本工程施工期废水主要是施工人员产生的生活污水及施工现场产生的少量废水。</w:t>
            </w:r>
            <w:r>
              <w:rPr>
                <w:rFonts w:hint="eastAsia" w:ascii="Times New Roman" w:hAnsi="Times New Roman"/>
                <w:sz w:val="28"/>
                <w:szCs w:val="28"/>
              </w:rPr>
              <w:t>生活污水排入临时防渗旱厕，不会对地表水环境产生影响，施工结束后由建设方清运。</w:t>
            </w:r>
            <w:r>
              <w:rPr>
                <w:rFonts w:ascii="Times New Roman" w:hAnsi="Times New Roman"/>
                <w:sz w:val="28"/>
                <w:szCs w:val="28"/>
              </w:rPr>
              <w:t>施工废水经沉淀后用于场地降尘。</w:t>
            </w:r>
          </w:p>
          <w:p>
            <w:pPr>
              <w:spacing w:line="360" w:lineRule="auto"/>
              <w:ind w:firstLine="560" w:firstLineChars="200"/>
              <w:rPr>
                <w:rFonts w:ascii="Times New Roman" w:hAnsi="Times New Roman"/>
                <w:sz w:val="28"/>
                <w:szCs w:val="28"/>
              </w:rPr>
            </w:pPr>
            <w:r>
              <w:rPr>
                <w:rFonts w:ascii="Times New Roman" w:hAnsi="Times New Roman"/>
                <w:sz w:val="28"/>
                <w:szCs w:val="28"/>
              </w:rPr>
              <w:t>3 噪声</w:t>
            </w:r>
          </w:p>
          <w:p>
            <w:pPr>
              <w:spacing w:line="360" w:lineRule="auto"/>
              <w:ind w:firstLine="560" w:firstLineChars="200"/>
              <w:rPr>
                <w:rFonts w:ascii="Times New Roman" w:hAnsi="Times New Roman"/>
                <w:sz w:val="28"/>
                <w:szCs w:val="28"/>
              </w:rPr>
            </w:pPr>
            <w:r>
              <w:rPr>
                <w:rFonts w:ascii="Times New Roman" w:hAnsi="Times New Roman"/>
                <w:sz w:val="28"/>
                <w:szCs w:val="28"/>
              </w:rPr>
              <w:t>施工期噪声主要为施工机械设备所产生的施工噪声及工程材料运输交通噪声，其施工主要噪声设备源强及随距离衰减噪声值见下表。</w:t>
            </w:r>
          </w:p>
          <w:p>
            <w:pPr>
              <w:spacing w:line="360" w:lineRule="auto"/>
              <w:jc w:val="center"/>
              <w:rPr>
                <w:rFonts w:ascii="Times New Roman" w:hAnsi="Times New Roman"/>
                <w:b/>
                <w:sz w:val="24"/>
                <w:szCs w:val="24"/>
              </w:rPr>
            </w:pPr>
          </w:p>
          <w:p>
            <w:pPr>
              <w:spacing w:line="360" w:lineRule="auto"/>
              <w:jc w:val="center"/>
              <w:rPr>
                <w:rFonts w:ascii="Times New Roman" w:hAnsi="Times New Roman"/>
                <w:b/>
                <w:sz w:val="24"/>
                <w:szCs w:val="24"/>
              </w:rPr>
            </w:pP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32 </w:t>
            </w:r>
            <w:r>
              <w:rPr>
                <w:rFonts w:ascii="Times New Roman" w:hAnsi="Times New Roman"/>
                <w:b/>
                <w:sz w:val="24"/>
                <w:szCs w:val="24"/>
              </w:rPr>
              <w:t xml:space="preserve">   单台设备随距离衰减噪声值   dB(A)</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1521"/>
              <w:gridCol w:w="1522"/>
              <w:gridCol w:w="1520"/>
              <w:gridCol w:w="1522"/>
              <w:gridCol w:w="152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2" w:type="pct"/>
                  <w:vAlign w:val="center"/>
                </w:tcPr>
                <w:p>
                  <w:pPr>
                    <w:jc w:val="center"/>
                    <w:rPr>
                      <w:rFonts w:ascii="Times New Roman" w:hAnsi="Times New Roman"/>
                      <w:szCs w:val="21"/>
                    </w:rPr>
                  </w:pPr>
                  <w:r>
                    <w:rPr>
                      <w:rFonts w:ascii="Times New Roman" w:hAnsi="Times New Roman"/>
                      <w:szCs w:val="21"/>
                    </w:rPr>
                    <w:t>设备名称</w:t>
                  </w:r>
                </w:p>
              </w:tc>
              <w:tc>
                <w:tcPr>
                  <w:tcW w:w="834" w:type="pct"/>
                  <w:vAlign w:val="center"/>
                </w:tcPr>
                <w:p>
                  <w:pPr>
                    <w:jc w:val="center"/>
                    <w:rPr>
                      <w:rFonts w:ascii="Times New Roman" w:hAnsi="Times New Roman"/>
                      <w:szCs w:val="21"/>
                    </w:rPr>
                  </w:pPr>
                  <w:r>
                    <w:rPr>
                      <w:rFonts w:ascii="Times New Roman" w:hAnsi="Times New Roman"/>
                      <w:szCs w:val="21"/>
                    </w:rPr>
                    <w:t>5m</w:t>
                  </w:r>
                </w:p>
              </w:tc>
              <w:tc>
                <w:tcPr>
                  <w:tcW w:w="834" w:type="pct"/>
                  <w:vAlign w:val="center"/>
                </w:tcPr>
                <w:p>
                  <w:pPr>
                    <w:jc w:val="center"/>
                    <w:rPr>
                      <w:rFonts w:ascii="Times New Roman" w:hAnsi="Times New Roman"/>
                      <w:szCs w:val="21"/>
                    </w:rPr>
                  </w:pPr>
                  <w:r>
                    <w:rPr>
                      <w:rFonts w:ascii="Times New Roman" w:hAnsi="Times New Roman"/>
                      <w:szCs w:val="21"/>
                    </w:rPr>
                    <w:t>10m</w:t>
                  </w:r>
                </w:p>
              </w:tc>
              <w:tc>
                <w:tcPr>
                  <w:tcW w:w="833" w:type="pct"/>
                  <w:vAlign w:val="center"/>
                </w:tcPr>
                <w:p>
                  <w:pPr>
                    <w:jc w:val="center"/>
                    <w:rPr>
                      <w:rFonts w:ascii="Times New Roman" w:hAnsi="Times New Roman"/>
                      <w:szCs w:val="21"/>
                    </w:rPr>
                  </w:pPr>
                  <w:r>
                    <w:rPr>
                      <w:rFonts w:ascii="Times New Roman" w:hAnsi="Times New Roman"/>
                      <w:szCs w:val="21"/>
                    </w:rPr>
                    <w:t>20m</w:t>
                  </w:r>
                </w:p>
              </w:tc>
              <w:tc>
                <w:tcPr>
                  <w:tcW w:w="834" w:type="pct"/>
                  <w:vAlign w:val="center"/>
                </w:tcPr>
                <w:p>
                  <w:pPr>
                    <w:jc w:val="center"/>
                    <w:rPr>
                      <w:rFonts w:ascii="Times New Roman" w:hAnsi="Times New Roman"/>
                      <w:szCs w:val="21"/>
                    </w:rPr>
                  </w:pPr>
                  <w:r>
                    <w:rPr>
                      <w:rFonts w:ascii="Times New Roman" w:hAnsi="Times New Roman"/>
                      <w:szCs w:val="21"/>
                    </w:rPr>
                    <w:t>30m</w:t>
                  </w:r>
                </w:p>
              </w:tc>
              <w:tc>
                <w:tcPr>
                  <w:tcW w:w="834" w:type="pct"/>
                  <w:vAlign w:val="center"/>
                </w:tcPr>
                <w:p>
                  <w:pPr>
                    <w:jc w:val="center"/>
                    <w:rPr>
                      <w:rFonts w:ascii="Times New Roman" w:hAnsi="Times New Roman"/>
                      <w:szCs w:val="21"/>
                    </w:rPr>
                  </w:pPr>
                  <w:r>
                    <w:rPr>
                      <w:rFonts w:ascii="Times New Roman" w:hAnsi="Times New Roman"/>
                      <w:szCs w:val="21"/>
                    </w:rPr>
                    <w:t>40m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2" w:type="pct"/>
                  <w:vAlign w:val="center"/>
                </w:tcPr>
                <w:p>
                  <w:pPr>
                    <w:jc w:val="center"/>
                    <w:rPr>
                      <w:rFonts w:ascii="Times New Roman" w:hAnsi="Times New Roman"/>
                      <w:szCs w:val="21"/>
                    </w:rPr>
                  </w:pPr>
                  <w:r>
                    <w:rPr>
                      <w:rFonts w:ascii="Times New Roman" w:hAnsi="Times New Roman"/>
                      <w:szCs w:val="21"/>
                    </w:rPr>
                    <w:t>装载机</w:t>
                  </w:r>
                </w:p>
              </w:tc>
              <w:tc>
                <w:tcPr>
                  <w:tcW w:w="834" w:type="pct"/>
                  <w:vAlign w:val="center"/>
                </w:tcPr>
                <w:p>
                  <w:pPr>
                    <w:jc w:val="center"/>
                    <w:rPr>
                      <w:rFonts w:ascii="Times New Roman" w:hAnsi="Times New Roman"/>
                      <w:szCs w:val="21"/>
                    </w:rPr>
                  </w:pPr>
                  <w:r>
                    <w:rPr>
                      <w:rFonts w:ascii="Times New Roman" w:hAnsi="Times New Roman"/>
                      <w:szCs w:val="21"/>
                    </w:rPr>
                    <w:t>90</w:t>
                  </w:r>
                </w:p>
              </w:tc>
              <w:tc>
                <w:tcPr>
                  <w:tcW w:w="834" w:type="pct"/>
                  <w:vAlign w:val="center"/>
                </w:tcPr>
                <w:p>
                  <w:pPr>
                    <w:jc w:val="center"/>
                    <w:rPr>
                      <w:rFonts w:ascii="Times New Roman" w:hAnsi="Times New Roman"/>
                      <w:szCs w:val="21"/>
                    </w:rPr>
                  </w:pPr>
                  <w:r>
                    <w:rPr>
                      <w:rFonts w:ascii="Times New Roman" w:hAnsi="Times New Roman"/>
                      <w:szCs w:val="21"/>
                    </w:rPr>
                    <w:t>84</w:t>
                  </w:r>
                </w:p>
              </w:tc>
              <w:tc>
                <w:tcPr>
                  <w:tcW w:w="833" w:type="pct"/>
                  <w:vAlign w:val="center"/>
                </w:tcPr>
                <w:p>
                  <w:pPr>
                    <w:jc w:val="center"/>
                    <w:rPr>
                      <w:rFonts w:ascii="Times New Roman" w:hAnsi="Times New Roman"/>
                      <w:szCs w:val="21"/>
                    </w:rPr>
                  </w:pPr>
                  <w:r>
                    <w:rPr>
                      <w:rFonts w:ascii="Times New Roman" w:hAnsi="Times New Roman"/>
                      <w:szCs w:val="21"/>
                    </w:rPr>
                    <w:t>78</w:t>
                  </w:r>
                </w:p>
              </w:tc>
              <w:tc>
                <w:tcPr>
                  <w:tcW w:w="834" w:type="pct"/>
                  <w:vAlign w:val="center"/>
                </w:tcPr>
                <w:p>
                  <w:pPr>
                    <w:jc w:val="center"/>
                    <w:rPr>
                      <w:rFonts w:ascii="Times New Roman" w:hAnsi="Times New Roman"/>
                      <w:szCs w:val="21"/>
                    </w:rPr>
                  </w:pPr>
                  <w:r>
                    <w:rPr>
                      <w:rFonts w:ascii="Times New Roman" w:hAnsi="Times New Roman"/>
                      <w:szCs w:val="21"/>
                    </w:rPr>
                    <w:t>74.5</w:t>
                  </w:r>
                </w:p>
              </w:tc>
              <w:tc>
                <w:tcPr>
                  <w:tcW w:w="834" w:type="pct"/>
                  <w:vAlign w:val="center"/>
                </w:tcPr>
                <w:p>
                  <w:pPr>
                    <w:jc w:val="center"/>
                    <w:rPr>
                      <w:rFonts w:ascii="Times New Roman" w:hAnsi="Times New Roman"/>
                      <w:szCs w:val="21"/>
                    </w:rPr>
                  </w:pPr>
                  <w:r>
                    <w:rPr>
                      <w:rFonts w:ascii="Times New Roman" w:hAnsi="Times New Roman"/>
                      <w:szCs w:val="21"/>
                    </w:rPr>
                    <w:t>72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2" w:type="pct"/>
                  <w:vAlign w:val="center"/>
                </w:tcPr>
                <w:p>
                  <w:pPr>
                    <w:jc w:val="center"/>
                    <w:rPr>
                      <w:rFonts w:ascii="Times New Roman" w:hAnsi="Times New Roman"/>
                      <w:szCs w:val="21"/>
                    </w:rPr>
                  </w:pPr>
                  <w:r>
                    <w:rPr>
                      <w:rFonts w:ascii="Times New Roman" w:hAnsi="Times New Roman"/>
                      <w:szCs w:val="21"/>
                    </w:rPr>
                    <w:t>钻孔机</w:t>
                  </w:r>
                </w:p>
              </w:tc>
              <w:tc>
                <w:tcPr>
                  <w:tcW w:w="834" w:type="pct"/>
                  <w:vAlign w:val="center"/>
                </w:tcPr>
                <w:p>
                  <w:pPr>
                    <w:jc w:val="center"/>
                    <w:rPr>
                      <w:rFonts w:ascii="Times New Roman" w:hAnsi="Times New Roman"/>
                      <w:szCs w:val="21"/>
                    </w:rPr>
                  </w:pPr>
                  <w:r>
                    <w:rPr>
                      <w:rFonts w:ascii="Times New Roman" w:hAnsi="Times New Roman"/>
                      <w:szCs w:val="21"/>
                    </w:rPr>
                    <w:t>82</w:t>
                  </w:r>
                </w:p>
              </w:tc>
              <w:tc>
                <w:tcPr>
                  <w:tcW w:w="834" w:type="pct"/>
                  <w:vAlign w:val="center"/>
                </w:tcPr>
                <w:p>
                  <w:pPr>
                    <w:jc w:val="center"/>
                    <w:rPr>
                      <w:rFonts w:ascii="Times New Roman" w:hAnsi="Times New Roman"/>
                      <w:szCs w:val="21"/>
                    </w:rPr>
                  </w:pPr>
                  <w:r>
                    <w:rPr>
                      <w:rFonts w:ascii="Times New Roman" w:hAnsi="Times New Roman"/>
                      <w:szCs w:val="21"/>
                    </w:rPr>
                    <w:t>76</w:t>
                  </w:r>
                </w:p>
              </w:tc>
              <w:tc>
                <w:tcPr>
                  <w:tcW w:w="833" w:type="pct"/>
                  <w:vAlign w:val="center"/>
                </w:tcPr>
                <w:p>
                  <w:pPr>
                    <w:jc w:val="center"/>
                    <w:rPr>
                      <w:rFonts w:ascii="Times New Roman" w:hAnsi="Times New Roman"/>
                      <w:szCs w:val="21"/>
                    </w:rPr>
                  </w:pPr>
                  <w:r>
                    <w:rPr>
                      <w:rFonts w:ascii="Times New Roman" w:hAnsi="Times New Roman"/>
                      <w:szCs w:val="21"/>
                    </w:rPr>
                    <w:t>70</w:t>
                  </w:r>
                </w:p>
              </w:tc>
              <w:tc>
                <w:tcPr>
                  <w:tcW w:w="834" w:type="pct"/>
                  <w:tcBorders>
                    <w:bottom w:val="single" w:color="auto" w:sz="4" w:space="0"/>
                  </w:tcBorders>
                  <w:vAlign w:val="center"/>
                </w:tcPr>
                <w:p>
                  <w:pPr>
                    <w:jc w:val="center"/>
                    <w:rPr>
                      <w:rFonts w:ascii="Times New Roman" w:hAnsi="Times New Roman"/>
                      <w:szCs w:val="21"/>
                    </w:rPr>
                  </w:pPr>
                  <w:r>
                    <w:rPr>
                      <w:rFonts w:ascii="Times New Roman" w:hAnsi="Times New Roman"/>
                      <w:szCs w:val="21"/>
                    </w:rPr>
                    <w:t>66.5</w:t>
                  </w:r>
                </w:p>
              </w:tc>
              <w:tc>
                <w:tcPr>
                  <w:tcW w:w="834" w:type="pct"/>
                  <w:tcBorders>
                    <w:bottom w:val="single" w:color="auto" w:sz="4" w:space="0"/>
                  </w:tcBorders>
                  <w:vAlign w:val="center"/>
                </w:tcPr>
                <w:p>
                  <w:pPr>
                    <w:jc w:val="center"/>
                    <w:rPr>
                      <w:rFonts w:ascii="Times New Roman" w:hAnsi="Times New Roman"/>
                      <w:szCs w:val="21"/>
                    </w:rPr>
                  </w:pPr>
                  <w:r>
                    <w:rPr>
                      <w:rFonts w:ascii="Times New Roman" w:hAnsi="Times New Roman"/>
                      <w:szCs w:val="21"/>
                    </w:rPr>
                    <w:t>64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2" w:type="pct"/>
                  <w:vAlign w:val="center"/>
                </w:tcPr>
                <w:p>
                  <w:pPr>
                    <w:jc w:val="center"/>
                    <w:rPr>
                      <w:rFonts w:ascii="Times New Roman" w:hAnsi="Times New Roman"/>
                      <w:szCs w:val="21"/>
                    </w:rPr>
                  </w:pPr>
                  <w:r>
                    <w:rPr>
                      <w:rFonts w:ascii="Times New Roman" w:hAnsi="Times New Roman"/>
                      <w:szCs w:val="21"/>
                    </w:rPr>
                    <w:t>振捣棒</w:t>
                  </w:r>
                </w:p>
              </w:tc>
              <w:tc>
                <w:tcPr>
                  <w:tcW w:w="834" w:type="pct"/>
                  <w:vAlign w:val="center"/>
                </w:tcPr>
                <w:p>
                  <w:pPr>
                    <w:jc w:val="center"/>
                    <w:rPr>
                      <w:rFonts w:ascii="Times New Roman" w:hAnsi="Times New Roman"/>
                      <w:szCs w:val="21"/>
                    </w:rPr>
                  </w:pPr>
                  <w:r>
                    <w:rPr>
                      <w:rFonts w:ascii="Times New Roman" w:hAnsi="Times New Roman"/>
                      <w:szCs w:val="21"/>
                    </w:rPr>
                    <w:t>87</w:t>
                  </w:r>
                </w:p>
              </w:tc>
              <w:tc>
                <w:tcPr>
                  <w:tcW w:w="834" w:type="pct"/>
                  <w:vAlign w:val="center"/>
                </w:tcPr>
                <w:p>
                  <w:pPr>
                    <w:jc w:val="center"/>
                    <w:rPr>
                      <w:rFonts w:ascii="Times New Roman" w:hAnsi="Times New Roman"/>
                      <w:szCs w:val="21"/>
                    </w:rPr>
                  </w:pPr>
                  <w:r>
                    <w:rPr>
                      <w:rFonts w:ascii="Times New Roman" w:hAnsi="Times New Roman"/>
                      <w:szCs w:val="21"/>
                    </w:rPr>
                    <w:cr/>
                  </w:r>
                  <w:r>
                    <w:rPr>
                      <w:rFonts w:ascii="Times New Roman" w:hAnsi="Times New Roman"/>
                      <w:szCs w:val="21"/>
                    </w:rPr>
                    <w:t>1</w:t>
                  </w:r>
                </w:p>
              </w:tc>
              <w:tc>
                <w:tcPr>
                  <w:tcW w:w="833" w:type="pct"/>
                  <w:vAlign w:val="center"/>
                </w:tcPr>
                <w:p>
                  <w:pPr>
                    <w:jc w:val="center"/>
                    <w:rPr>
                      <w:rFonts w:ascii="Times New Roman" w:hAnsi="Times New Roman"/>
                      <w:szCs w:val="21"/>
                    </w:rPr>
                  </w:pPr>
                  <w:r>
                    <w:rPr>
                      <w:rFonts w:ascii="Times New Roman" w:hAnsi="Times New Roman"/>
                      <w:szCs w:val="21"/>
                    </w:rPr>
                    <w:t>75</w:t>
                  </w:r>
                </w:p>
              </w:tc>
              <w:tc>
                <w:tcPr>
                  <w:tcW w:w="834" w:type="pct"/>
                  <w:vAlign w:val="center"/>
                </w:tcPr>
                <w:p>
                  <w:pPr>
                    <w:jc w:val="center"/>
                    <w:rPr>
                      <w:rFonts w:ascii="Times New Roman" w:hAnsi="Times New Roman"/>
                      <w:szCs w:val="21"/>
                    </w:rPr>
                  </w:pPr>
                  <w:r>
                    <w:rPr>
                      <w:rFonts w:ascii="Times New Roman" w:hAnsi="Times New Roman"/>
                      <w:szCs w:val="21"/>
                    </w:rPr>
                    <w:t>71.5</w:t>
                  </w:r>
                </w:p>
              </w:tc>
              <w:tc>
                <w:tcPr>
                  <w:tcW w:w="834" w:type="pct"/>
                  <w:vAlign w:val="center"/>
                </w:tcPr>
                <w:p>
                  <w:pPr>
                    <w:jc w:val="center"/>
                    <w:rPr>
                      <w:rFonts w:ascii="Times New Roman" w:hAnsi="Times New Roman"/>
                      <w:szCs w:val="21"/>
                    </w:rPr>
                  </w:pPr>
                  <w:r>
                    <w:rPr>
                      <w:rFonts w:ascii="Times New Roman" w:hAnsi="Times New Roman"/>
                      <w:szCs w:val="21"/>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2" w:type="pct"/>
                  <w:vAlign w:val="center"/>
                </w:tcPr>
                <w:p>
                  <w:pPr>
                    <w:jc w:val="center"/>
                    <w:rPr>
                      <w:rFonts w:ascii="Times New Roman" w:hAnsi="Times New Roman"/>
                      <w:szCs w:val="21"/>
                    </w:rPr>
                  </w:pPr>
                  <w:r>
                    <w:rPr>
                      <w:rFonts w:ascii="Times New Roman" w:hAnsi="Times New Roman"/>
                      <w:szCs w:val="21"/>
                    </w:rPr>
                    <w:t>卷扬机</w:t>
                  </w:r>
                </w:p>
              </w:tc>
              <w:tc>
                <w:tcPr>
                  <w:tcW w:w="834" w:type="pct"/>
                  <w:vAlign w:val="center"/>
                </w:tcPr>
                <w:p>
                  <w:pPr>
                    <w:jc w:val="center"/>
                    <w:rPr>
                      <w:rFonts w:ascii="Times New Roman" w:hAnsi="Times New Roman"/>
                      <w:szCs w:val="21"/>
                    </w:rPr>
                  </w:pPr>
                  <w:r>
                    <w:rPr>
                      <w:rFonts w:ascii="Times New Roman" w:hAnsi="Times New Roman"/>
                      <w:szCs w:val="21"/>
                    </w:rPr>
                    <w:t>75</w:t>
                  </w:r>
                </w:p>
              </w:tc>
              <w:tc>
                <w:tcPr>
                  <w:tcW w:w="834" w:type="pct"/>
                  <w:vAlign w:val="center"/>
                </w:tcPr>
                <w:p>
                  <w:pPr>
                    <w:jc w:val="center"/>
                    <w:rPr>
                      <w:rFonts w:ascii="Times New Roman" w:hAnsi="Times New Roman"/>
                      <w:szCs w:val="21"/>
                    </w:rPr>
                  </w:pPr>
                  <w:r>
                    <w:rPr>
                      <w:rFonts w:ascii="Times New Roman" w:hAnsi="Times New Roman"/>
                      <w:szCs w:val="21"/>
                    </w:rPr>
                    <w:t>69</w:t>
                  </w:r>
                </w:p>
              </w:tc>
              <w:tc>
                <w:tcPr>
                  <w:tcW w:w="833" w:type="pct"/>
                  <w:vAlign w:val="center"/>
                </w:tcPr>
                <w:p>
                  <w:pPr>
                    <w:jc w:val="center"/>
                    <w:rPr>
                      <w:rFonts w:ascii="Times New Roman" w:hAnsi="Times New Roman"/>
                      <w:szCs w:val="21"/>
                    </w:rPr>
                  </w:pPr>
                  <w:r>
                    <w:rPr>
                      <w:rFonts w:ascii="Times New Roman" w:hAnsi="Times New Roman"/>
                      <w:szCs w:val="21"/>
                    </w:rPr>
                    <w:t>63</w:t>
                  </w:r>
                </w:p>
              </w:tc>
              <w:tc>
                <w:tcPr>
                  <w:tcW w:w="834" w:type="pct"/>
                  <w:vAlign w:val="center"/>
                </w:tcPr>
                <w:p>
                  <w:pPr>
                    <w:jc w:val="center"/>
                    <w:rPr>
                      <w:rFonts w:ascii="Times New Roman" w:hAnsi="Times New Roman"/>
                      <w:szCs w:val="21"/>
                    </w:rPr>
                  </w:pPr>
                  <w:r>
                    <w:rPr>
                      <w:rFonts w:ascii="Times New Roman" w:hAnsi="Times New Roman"/>
                      <w:szCs w:val="21"/>
                    </w:rPr>
                    <w:t>59.5</w:t>
                  </w:r>
                </w:p>
              </w:tc>
              <w:tc>
                <w:tcPr>
                  <w:tcW w:w="834" w:type="pct"/>
                  <w:vAlign w:val="center"/>
                </w:tcPr>
                <w:p>
                  <w:pPr>
                    <w:jc w:val="center"/>
                    <w:rPr>
                      <w:rFonts w:ascii="Times New Roman" w:hAnsi="Times New Roman"/>
                      <w:szCs w:val="21"/>
                    </w:rPr>
                  </w:pPr>
                  <w:r>
                    <w:rPr>
                      <w:rFonts w:ascii="Times New Roman" w:hAnsi="Times New Roman"/>
                      <w:szCs w:val="21"/>
                    </w:rPr>
                    <w:t>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2" w:type="pct"/>
                  <w:vAlign w:val="center"/>
                </w:tcPr>
                <w:p>
                  <w:pPr>
                    <w:jc w:val="center"/>
                    <w:rPr>
                      <w:rFonts w:ascii="Times New Roman" w:hAnsi="Times New Roman"/>
                      <w:szCs w:val="21"/>
                    </w:rPr>
                  </w:pPr>
                  <w:r>
                    <w:rPr>
                      <w:rFonts w:ascii="Times New Roman" w:hAnsi="Times New Roman"/>
                      <w:szCs w:val="21"/>
                    </w:rPr>
                    <w:t>卡车</w:t>
                  </w:r>
                </w:p>
              </w:tc>
              <w:tc>
                <w:tcPr>
                  <w:tcW w:w="834" w:type="pct"/>
                  <w:vAlign w:val="center"/>
                </w:tcPr>
                <w:p>
                  <w:pPr>
                    <w:jc w:val="center"/>
                    <w:rPr>
                      <w:rFonts w:ascii="Times New Roman" w:hAnsi="Times New Roman"/>
                      <w:szCs w:val="21"/>
                    </w:rPr>
                  </w:pPr>
                  <w:r>
                    <w:rPr>
                      <w:rFonts w:ascii="Times New Roman" w:hAnsi="Times New Roman"/>
                      <w:szCs w:val="21"/>
                    </w:rPr>
                    <w:t>90</w:t>
                  </w:r>
                </w:p>
              </w:tc>
              <w:tc>
                <w:tcPr>
                  <w:tcW w:w="834" w:type="pct"/>
                  <w:vAlign w:val="center"/>
                </w:tcPr>
                <w:p>
                  <w:pPr>
                    <w:jc w:val="center"/>
                    <w:rPr>
                      <w:rFonts w:ascii="Times New Roman" w:hAnsi="Times New Roman"/>
                      <w:szCs w:val="21"/>
                    </w:rPr>
                  </w:pPr>
                  <w:r>
                    <w:rPr>
                      <w:rFonts w:ascii="Times New Roman" w:hAnsi="Times New Roman"/>
                      <w:szCs w:val="21"/>
                    </w:rPr>
                    <w:t>84</w:t>
                  </w:r>
                </w:p>
              </w:tc>
              <w:tc>
                <w:tcPr>
                  <w:tcW w:w="833" w:type="pct"/>
                  <w:vAlign w:val="center"/>
                </w:tcPr>
                <w:p>
                  <w:pPr>
                    <w:jc w:val="center"/>
                    <w:rPr>
                      <w:rFonts w:ascii="Times New Roman" w:hAnsi="Times New Roman"/>
                      <w:szCs w:val="21"/>
                    </w:rPr>
                  </w:pPr>
                  <w:r>
                    <w:rPr>
                      <w:rFonts w:ascii="Times New Roman" w:hAnsi="Times New Roman"/>
                      <w:szCs w:val="21"/>
                    </w:rPr>
                    <w:t>78</w:t>
                  </w:r>
                </w:p>
              </w:tc>
              <w:tc>
                <w:tcPr>
                  <w:tcW w:w="834" w:type="pct"/>
                  <w:vAlign w:val="center"/>
                </w:tcPr>
                <w:p>
                  <w:pPr>
                    <w:jc w:val="center"/>
                    <w:rPr>
                      <w:rFonts w:ascii="Times New Roman" w:hAnsi="Times New Roman"/>
                      <w:szCs w:val="21"/>
                    </w:rPr>
                  </w:pPr>
                  <w:r>
                    <w:rPr>
                      <w:rFonts w:ascii="Times New Roman" w:hAnsi="Times New Roman"/>
                      <w:szCs w:val="21"/>
                    </w:rPr>
                    <w:t>74.5</w:t>
                  </w:r>
                </w:p>
              </w:tc>
              <w:tc>
                <w:tcPr>
                  <w:tcW w:w="834" w:type="pct"/>
                  <w:vAlign w:val="center"/>
                </w:tcPr>
                <w:p>
                  <w:pPr>
                    <w:jc w:val="center"/>
                    <w:rPr>
                      <w:rFonts w:ascii="Times New Roman" w:hAnsi="Times New Roman"/>
                      <w:szCs w:val="21"/>
                    </w:rPr>
                  </w:pPr>
                  <w:r>
                    <w:rPr>
                      <w:rFonts w:ascii="Times New Roman" w:hAnsi="Times New Roman"/>
                      <w:szCs w:val="21"/>
                    </w:rPr>
                    <w:t>72</w:t>
                  </w:r>
                </w:p>
              </w:tc>
            </w:tr>
          </w:tbl>
          <w:p>
            <w:pPr>
              <w:spacing w:line="360" w:lineRule="auto"/>
              <w:ind w:firstLine="560" w:firstLineChars="200"/>
              <w:rPr>
                <w:rFonts w:ascii="Times New Roman" w:hAnsi="Times New Roman"/>
                <w:sz w:val="28"/>
                <w:szCs w:val="28"/>
              </w:rPr>
            </w:pPr>
            <w:r>
              <w:rPr>
                <w:rFonts w:ascii="Times New Roman" w:hAnsi="Times New Roman"/>
                <w:sz w:val="28"/>
                <w:szCs w:val="28"/>
              </w:rPr>
              <w:t>施工过程中要做到文明施工，施工机械要采取减振措施，使用低噪声设备，大型</w:t>
            </w:r>
            <w:r>
              <w:rPr>
                <w:rFonts w:hint="eastAsia" w:ascii="Times New Roman" w:hAnsi="Times New Roman"/>
                <w:sz w:val="28"/>
                <w:szCs w:val="28"/>
              </w:rPr>
              <w:t>高噪声</w:t>
            </w:r>
            <w:r>
              <w:rPr>
                <w:rFonts w:ascii="Times New Roman" w:hAnsi="Times New Roman"/>
                <w:sz w:val="28"/>
                <w:szCs w:val="28"/>
              </w:rPr>
              <w:t>施工机械必须封闭使用或四周加设隔声屏障，杜绝夜间施工现象。采取上述措施，施工场界噪声能够达到《建筑施工场界环境噪声排放标准》(GB12523-2011)标准值，故施工期噪声对周围环境影响会减小。</w:t>
            </w:r>
          </w:p>
          <w:p>
            <w:pPr>
              <w:spacing w:line="360" w:lineRule="auto"/>
              <w:ind w:firstLine="560" w:firstLineChars="200"/>
              <w:rPr>
                <w:rFonts w:ascii="Times New Roman" w:hAnsi="Times New Roman"/>
                <w:sz w:val="28"/>
                <w:szCs w:val="28"/>
              </w:rPr>
            </w:pPr>
            <w:r>
              <w:rPr>
                <w:rFonts w:ascii="Times New Roman" w:hAnsi="Times New Roman"/>
                <w:sz w:val="28"/>
                <w:szCs w:val="28"/>
              </w:rPr>
              <w:t>4 固体废物</w:t>
            </w:r>
          </w:p>
          <w:p>
            <w:pPr>
              <w:spacing w:line="360" w:lineRule="auto"/>
              <w:ind w:firstLine="560" w:firstLineChars="200"/>
              <w:rPr>
                <w:rFonts w:ascii="Times New Roman" w:hAnsi="Times New Roman"/>
                <w:sz w:val="28"/>
                <w:szCs w:val="28"/>
              </w:rPr>
            </w:pPr>
            <w:r>
              <w:rPr>
                <w:rFonts w:ascii="Times New Roman" w:hAnsi="Times New Roman"/>
                <w:sz w:val="28"/>
                <w:szCs w:val="28"/>
              </w:rPr>
              <w:t>施工期主要的固体废物为建筑垃圾及生活垃圾，要随产随清，驶出施工现场的车辆，应清除轮胎上的泥土，建筑垃圾及生活垃圾应及时清运至市政指定地点。</w:t>
            </w:r>
          </w:p>
          <w:p>
            <w:pPr>
              <w:spacing w:line="360" w:lineRule="auto"/>
              <w:ind w:firstLine="560" w:firstLineChars="200"/>
              <w:rPr>
                <w:rFonts w:ascii="Times New Roman" w:hAnsi="Times New Roman"/>
                <w:sz w:val="28"/>
                <w:szCs w:val="28"/>
              </w:rPr>
            </w:pPr>
            <w:r>
              <w:rPr>
                <w:rFonts w:ascii="Times New Roman" w:hAnsi="Times New Roman"/>
                <w:sz w:val="28"/>
                <w:szCs w:val="28"/>
              </w:rPr>
              <w:t>由于施工过程是暂时的，因而整个施工期对环境所产生的不利影响不会很明显。</w:t>
            </w:r>
          </w:p>
          <w:p>
            <w:pPr>
              <w:pStyle w:val="12"/>
              <w:spacing w:line="360" w:lineRule="auto"/>
              <w:rPr>
                <w:rFonts w:ascii="Times New Roman" w:hAnsi="Times New Roman" w:cs="Times New Roman"/>
                <w:b/>
                <w:sz w:val="28"/>
                <w:szCs w:val="28"/>
              </w:rPr>
            </w:pPr>
            <w:r>
              <w:rPr>
                <w:rFonts w:ascii="Times New Roman" w:hAnsi="Times New Roman" w:cs="Times New Roman"/>
                <w:b/>
                <w:sz w:val="28"/>
                <w:szCs w:val="28"/>
              </w:rPr>
              <w:t>二、营运期环境影响分析</w:t>
            </w:r>
          </w:p>
          <w:p>
            <w:pPr>
              <w:spacing w:line="360" w:lineRule="auto"/>
              <w:ind w:firstLine="560" w:firstLineChars="200"/>
              <w:rPr>
                <w:rFonts w:ascii="Times New Roman" w:hAnsi="Times New Roman"/>
                <w:b/>
                <w:sz w:val="28"/>
                <w:szCs w:val="28"/>
              </w:rPr>
            </w:pPr>
            <w:r>
              <w:rPr>
                <w:rFonts w:ascii="Times New Roman" w:hAnsi="Times New Roman"/>
                <w:b/>
                <w:sz w:val="28"/>
                <w:szCs w:val="28"/>
              </w:rPr>
              <w:t>1 环境空气影响分析</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本项目产生的大气污染物主要为站内卸油、储油、加油过程中油品的挥发，油品挥发废气主要污染物为非甲烷总烃。本项目</w:t>
            </w:r>
            <w:r>
              <w:rPr>
                <w:rFonts w:asciiTheme="minorEastAsia" w:hAnsiTheme="minorEastAsia" w:eastAsiaTheme="minorEastAsia"/>
                <w:sz w:val="28"/>
                <w:szCs w:val="28"/>
              </w:rPr>
              <w:t>对卸油油气、储油油气和加油过程油气采取控制措施：</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（1） </w:t>
            </w:r>
            <w:r>
              <w:rPr>
                <w:rFonts w:asciiTheme="minorEastAsia" w:hAnsiTheme="minorEastAsia" w:eastAsiaTheme="minorEastAsia"/>
                <w:sz w:val="28"/>
                <w:szCs w:val="28"/>
              </w:rPr>
              <w:t>卸油油气排放控制：</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①</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应采用浸没式卸油方式，卸油管出油口距罐底高度应小于200mm。</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②</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卸油和油气回收接口应安装DN65mm的截流阀、密封式快速接头和帽盖。</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③</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连接软管应采用DN60mm的密封式快速接头与卸油车连接，卸油后连接软管内不能存留残油。</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④</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所有油气管线排放口应按GB50156的要求设置压力/真空阀。</w:t>
            </w:r>
          </w:p>
          <w:p>
            <w:pPr>
              <w:pStyle w:val="73"/>
              <w:spacing w:line="360" w:lineRule="auto"/>
              <w:ind w:firstLine="571" w:firstLineChars="204"/>
              <w:rPr>
                <w:rFonts w:asciiTheme="minorEastAsia" w:hAnsiTheme="minorEastAsia" w:eastAsiaTheme="minorEastAsia"/>
                <w:sz w:val="28"/>
                <w:szCs w:val="28"/>
              </w:rPr>
            </w:pPr>
            <w:r>
              <w:rPr>
                <w:rFonts w:asciiTheme="minorEastAsia" w:hAnsiTheme="minorEastAsia" w:eastAsiaTheme="minorEastAsia"/>
                <w:sz w:val="28"/>
                <w:szCs w:val="28"/>
              </w:rPr>
              <w:t>⑤</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接排气管的地下管线应坡向油罐，坡度不应小于1%，管线直径不小于DN50mm。</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储油油气排放控制：</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①</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所有影响储油油气密闭性的部件，包括油气管线和所联接的法兰、阀门、快接头以及其他相关部件都应保证在小于750Pa时不漏气。</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②</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埋地油罐应采用电子式液位计进行汽油密闭测量，宜选择具有测漏功能的电子式液位测量系统。</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③</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应采用符合相关规定的溢油控制措施。</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（3） </w:t>
            </w:r>
            <w:r>
              <w:rPr>
                <w:rFonts w:asciiTheme="minorEastAsia" w:hAnsiTheme="minorEastAsia" w:eastAsiaTheme="minorEastAsia"/>
                <w:sz w:val="28"/>
                <w:szCs w:val="28"/>
              </w:rPr>
              <w:t>加油油气排放控制：</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①</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加油产生的油气应采用真空辅助方式密闭收集。</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②</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油气回收管线应坡向油罐，坡度不应小于1%。</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③</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加油站在油气管线覆土、地面硬化施工之前，应向管线内注入10L汽油并检测液阻。</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④</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加油软管应配备拉断截止阀，加油时应防止溢油和滴油。</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⑤</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油气回收系统供应商应向有关设计、管理和使用单位提供技术评估报告、操作规程和其他相关技术资料。</w:t>
            </w:r>
          </w:p>
          <w:p>
            <w:pPr>
              <w:pStyle w:val="73"/>
              <w:spacing w:line="360" w:lineRule="auto"/>
              <w:ind w:firstLine="200" w:firstLineChars="0"/>
              <w:rPr>
                <w:rFonts w:asciiTheme="minorEastAsia" w:hAnsiTheme="minorEastAsia" w:eastAsiaTheme="minorEastAsia"/>
                <w:sz w:val="28"/>
                <w:szCs w:val="28"/>
              </w:rPr>
            </w:pPr>
            <w:r>
              <w:rPr>
                <w:rFonts w:asciiTheme="minorEastAsia" w:hAnsiTheme="minorEastAsia" w:eastAsiaTheme="minorEastAsia"/>
                <w:sz w:val="28"/>
                <w:szCs w:val="28"/>
              </w:rPr>
              <w:t>⑥</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严格按规程操作和管理油气回收设施，定期检查、维护并记录备查。</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（4） </w:t>
            </w:r>
            <w:r>
              <w:rPr>
                <w:rFonts w:asciiTheme="minorEastAsia" w:hAnsiTheme="minorEastAsia" w:eastAsiaTheme="minorEastAsia"/>
                <w:sz w:val="28"/>
                <w:szCs w:val="28"/>
              </w:rPr>
              <w:t>其它控制措施</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w:instrText>
            </w:r>
            <w:r>
              <w:rPr>
                <w:rFonts w:hint="eastAsia" w:asciiTheme="minorEastAsia" w:hAnsiTheme="minorEastAsia" w:eastAsiaTheme="minorEastAsia"/>
                <w:sz w:val="28"/>
                <w:szCs w:val="28"/>
              </w:rPr>
              <w:instrText xml:space="preserve">= 1 \* GB3</w:instrText>
            </w:r>
            <w:r>
              <w:rPr>
                <w:rFonts w:asciiTheme="minorEastAsia" w:hAnsiTheme="minorEastAsia" w:eastAsiaTheme="minorEastAsia"/>
                <w:sz w:val="28"/>
                <w:szCs w:val="28"/>
              </w:rPr>
              <w:instrText xml:space="preserve"> </w:instrText>
            </w:r>
            <w:r>
              <w:rPr>
                <w:rFonts w:asciiTheme="minorEastAsia" w:hAnsiTheme="minorEastAsia" w:eastAsiaTheme="minorEastAsia"/>
                <w:sz w:val="28"/>
                <w:szCs w:val="28"/>
              </w:rPr>
              <w:fldChar w:fldCharType="separate"/>
            </w:r>
            <w:r>
              <w:rPr>
                <w:rFonts w:hint="eastAsia" w:asciiTheme="minorEastAsia" w:hAnsiTheme="minorEastAsia" w:eastAsiaTheme="minorEastAsia"/>
                <w:sz w:val="28"/>
                <w:szCs w:val="28"/>
              </w:rPr>
              <w:t>①</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项目采用地埋式储油罐，由于该罐密闭型较好，因此储油罐罐室内气温比较稳定，受大气环境稳定影响较小，可减少油罐小呼吸蒸发损耗，延缓油品变质，可以一定程度上减少非甲烷总烃的排放。为了降低项目产生的有机废气对大气环境的污染，应保证汽油罐和柴油灌的通气管分开设置，管口高出地面4m以上，并在通气管管口应安装阻火器，储油罐呼吸管排放口安装呼吸阀，</w:t>
            </w:r>
            <w:r>
              <w:rPr>
                <w:rFonts w:asciiTheme="minorEastAsia" w:hAnsiTheme="minorEastAsia" w:eastAsiaTheme="minorEastAsia"/>
                <w:bCs/>
                <w:sz w:val="28"/>
                <w:szCs w:val="28"/>
              </w:rPr>
              <w:t>通过采取上述措施，减少了</w:t>
            </w:r>
            <w:r>
              <w:rPr>
                <w:rFonts w:asciiTheme="minorEastAsia" w:hAnsiTheme="minorEastAsia" w:eastAsiaTheme="minorEastAsia"/>
                <w:sz w:val="28"/>
                <w:szCs w:val="28"/>
              </w:rPr>
              <w:t>有机废气对大气环境的污染。</w:t>
            </w:r>
          </w:p>
          <w:p>
            <w:pPr>
              <w:pStyle w:val="151"/>
              <w:spacing w:line="360" w:lineRule="auto"/>
              <w:rPr>
                <w:rFonts w:cs="Times New Roman" w:asciiTheme="minorEastAsia" w:hAnsiTheme="minorEastAsia" w:eastAsiaTheme="minorEastAsia"/>
                <w:szCs w:val="28"/>
              </w:rPr>
            </w:pPr>
            <w:r>
              <w:rPr>
                <w:rFonts w:cs="Times New Roman" w:asciiTheme="minorEastAsia" w:hAnsiTheme="minorEastAsia" w:eastAsiaTheme="minorEastAsia"/>
                <w:szCs w:val="28"/>
              </w:rPr>
              <w:fldChar w:fldCharType="begin"/>
            </w:r>
            <w:r>
              <w:rPr>
                <w:rFonts w:cs="Times New Roman" w:asciiTheme="minorEastAsia" w:hAnsiTheme="minorEastAsia" w:eastAsiaTheme="minorEastAsia"/>
                <w:szCs w:val="28"/>
              </w:rPr>
              <w:instrText xml:space="preserve"> </w:instrText>
            </w:r>
            <w:r>
              <w:rPr>
                <w:rFonts w:hint="eastAsia" w:cs="Times New Roman" w:asciiTheme="minorEastAsia" w:hAnsiTheme="minorEastAsia" w:eastAsiaTheme="minorEastAsia"/>
                <w:szCs w:val="28"/>
              </w:rPr>
              <w:instrText xml:space="preserve">= 2 \* GB3</w:instrText>
            </w:r>
            <w:r>
              <w:rPr>
                <w:rFonts w:cs="Times New Roman" w:asciiTheme="minorEastAsia" w:hAnsiTheme="minorEastAsia" w:eastAsiaTheme="minorEastAsia"/>
                <w:szCs w:val="28"/>
              </w:rPr>
              <w:instrText xml:space="preserve"> </w:instrText>
            </w:r>
            <w:r>
              <w:rPr>
                <w:rFonts w:cs="Times New Roman" w:asciiTheme="minorEastAsia" w:hAnsiTheme="minorEastAsia" w:eastAsiaTheme="minorEastAsia"/>
                <w:szCs w:val="28"/>
              </w:rPr>
              <w:fldChar w:fldCharType="separate"/>
            </w:r>
            <w:r>
              <w:rPr>
                <w:rFonts w:hint="eastAsia" w:cs="Times New Roman" w:asciiTheme="minorEastAsia" w:hAnsiTheme="minorEastAsia" w:eastAsiaTheme="minorEastAsia"/>
                <w:szCs w:val="28"/>
              </w:rPr>
              <w:t>②</w:t>
            </w:r>
            <w:r>
              <w:rPr>
                <w:rFonts w:cs="Times New Roman" w:asciiTheme="minorEastAsia" w:hAnsiTheme="minorEastAsia" w:eastAsiaTheme="minorEastAsia"/>
                <w:szCs w:val="28"/>
              </w:rPr>
              <w:fldChar w:fldCharType="end"/>
            </w:r>
            <w:r>
              <w:rPr>
                <w:rFonts w:hint="eastAsia" w:cs="Times New Roman" w:asciiTheme="minorEastAsia" w:hAnsiTheme="minorEastAsia" w:eastAsiaTheme="minorEastAsia"/>
                <w:szCs w:val="28"/>
              </w:rPr>
              <w:t xml:space="preserve"> </w:t>
            </w:r>
            <w:r>
              <w:rPr>
                <w:rFonts w:cs="Times New Roman" w:asciiTheme="minorEastAsia" w:hAnsiTheme="minorEastAsia" w:eastAsiaTheme="minorEastAsia"/>
                <w:szCs w:val="28"/>
              </w:rPr>
              <w:t>采用浸没式卸油，用液位仪进行油品密封测量，并设置卸油及加油油气回收系统。</w:t>
            </w:r>
          </w:p>
          <w:p>
            <w:pPr>
              <w:pStyle w:val="151"/>
              <w:spacing w:line="360" w:lineRule="auto"/>
              <w:rPr>
                <w:rFonts w:cs="Times New Roman" w:asciiTheme="minorEastAsia" w:hAnsiTheme="minorEastAsia" w:eastAsiaTheme="minorEastAsia"/>
                <w:szCs w:val="28"/>
              </w:rPr>
            </w:pPr>
            <w:r>
              <w:rPr>
                <w:rFonts w:asciiTheme="minorEastAsia" w:hAnsiTheme="minorEastAsia" w:eastAsiaTheme="minorEastAsia"/>
                <w:szCs w:val="28"/>
              </w:rPr>
              <w:fldChar w:fldCharType="begin"/>
            </w:r>
            <w:r>
              <w:rPr>
                <w:rFonts w:asciiTheme="minorEastAsia" w:hAnsiTheme="minorEastAsia" w:eastAsiaTheme="minorEastAsia"/>
                <w:szCs w:val="28"/>
              </w:rPr>
              <w:instrText xml:space="preserve"> = 3 \* GB3 </w:instrText>
            </w:r>
            <w:r>
              <w:rPr>
                <w:rFonts w:asciiTheme="minorEastAsia" w:hAnsiTheme="minorEastAsia" w:eastAsiaTheme="minorEastAsia"/>
                <w:szCs w:val="28"/>
              </w:rPr>
              <w:fldChar w:fldCharType="separate"/>
            </w:r>
            <w:r>
              <w:rPr>
                <w:rFonts w:asciiTheme="minorEastAsia" w:hAnsiTheme="minorEastAsia" w:eastAsiaTheme="minorEastAsia"/>
                <w:szCs w:val="28"/>
              </w:rPr>
              <w:t>③</w:t>
            </w:r>
            <w:r>
              <w:rPr>
                <w:rFonts w:asciiTheme="minorEastAsia" w:hAnsiTheme="minorEastAsia" w:eastAsiaTheme="minorEastAsia"/>
                <w:szCs w:val="28"/>
              </w:rPr>
              <w:fldChar w:fldCharType="end"/>
            </w:r>
            <w:r>
              <w:rPr>
                <w:rFonts w:hint="eastAsia" w:asciiTheme="minorEastAsia" w:hAnsiTheme="minorEastAsia" w:eastAsiaTheme="minorEastAsia"/>
                <w:szCs w:val="28"/>
              </w:rPr>
              <w:t xml:space="preserve"> </w:t>
            </w:r>
            <w:r>
              <w:rPr>
                <w:rFonts w:asciiTheme="minorEastAsia" w:hAnsiTheme="minorEastAsia" w:eastAsiaTheme="minorEastAsia"/>
                <w:szCs w:val="28"/>
              </w:rPr>
              <w:t>为了减少加油机作业时由于跑、冒、滴、漏造成的非甲烷总烃损失，要求加油站加强操作人员的业务培训和学习，严格按照行业操作规程作业，从管理和作业上减少大气污染物排污量。</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 非甲烷总烃的影响分析</w:t>
            </w:r>
          </w:p>
          <w:p>
            <w:pPr>
              <w:pStyle w:val="68"/>
              <w:ind w:firstLine="560"/>
              <w:rPr>
                <w:rFonts w:ascii="Times New Roman" w:hAnsi="Times New Roman" w:cs="Times New Roman"/>
                <w:color w:val="auto"/>
                <w:sz w:val="28"/>
                <w:szCs w:val="28"/>
              </w:rPr>
            </w:pPr>
            <w:r>
              <w:rPr>
                <w:rFonts w:hint="eastAsia" w:ascii="宋体" w:hAnsi="宋体" w:eastAsia="宋体" w:cs="宋体"/>
                <w:color w:val="auto"/>
                <w:sz w:val="28"/>
                <w:szCs w:val="28"/>
              </w:rPr>
              <w:t xml:space="preserve">① </w:t>
            </w:r>
            <w:r>
              <w:rPr>
                <w:rFonts w:ascii="Times New Roman" w:hAnsi="Times New Roman" w:cs="Times New Roman"/>
                <w:color w:val="auto"/>
                <w:sz w:val="28"/>
                <w:szCs w:val="28"/>
              </w:rPr>
              <w:t>污染源参数</w:t>
            </w:r>
          </w:p>
          <w:p>
            <w:pPr>
              <w:pStyle w:val="68"/>
              <w:ind w:firstLine="560"/>
              <w:rPr>
                <w:rFonts w:ascii="Times New Roman" w:hAnsi="Times New Roman" w:cs="Times New Roman"/>
                <w:color w:val="auto"/>
                <w:sz w:val="28"/>
                <w:szCs w:val="28"/>
              </w:rPr>
            </w:pPr>
            <w:r>
              <w:rPr>
                <w:rFonts w:ascii="Times New Roman" w:hAnsi="Times New Roman" w:cs="Times New Roman"/>
                <w:color w:val="auto"/>
                <w:sz w:val="28"/>
                <w:szCs w:val="28"/>
              </w:rPr>
              <w:t>根据《环境影响评价技术导则-大气环境》（HJ2.2-2018）中推荐的模式AERSCREEN要求，主要废气污染源参数一览表(矩形面源)见下所示。</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33</w:t>
            </w:r>
            <w:r>
              <w:rPr>
                <w:rFonts w:ascii="Times New Roman" w:hAnsi="Times New Roman"/>
                <w:b/>
                <w:sz w:val="24"/>
                <w:szCs w:val="24"/>
              </w:rPr>
              <w:t xml:space="preserve">    面源参数表（非甲烷总烃）</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96"/>
              <w:gridCol w:w="574"/>
              <w:gridCol w:w="1071"/>
              <w:gridCol w:w="982"/>
              <w:gridCol w:w="587"/>
              <w:gridCol w:w="600"/>
              <w:gridCol w:w="600"/>
              <w:gridCol w:w="608"/>
              <w:gridCol w:w="613"/>
              <w:gridCol w:w="637"/>
              <w:gridCol w:w="1111"/>
              <w:gridCol w:w="134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7" w:type="pct"/>
                  <w:vMerge w:val="restart"/>
                  <w:vAlign w:val="center"/>
                </w:tcPr>
                <w:p>
                  <w:pPr>
                    <w:jc w:val="center"/>
                    <w:rPr>
                      <w:rFonts w:ascii="Times New Roman" w:hAnsi="Times New Roman"/>
                      <w:sz w:val="18"/>
                      <w:szCs w:val="18"/>
                    </w:rPr>
                  </w:pPr>
                  <w:r>
                    <w:rPr>
                      <w:rFonts w:ascii="Times New Roman" w:hAnsi="Times New Roman"/>
                      <w:sz w:val="18"/>
                      <w:szCs w:val="18"/>
                    </w:rPr>
                    <w:t>编号</w:t>
                  </w:r>
                </w:p>
              </w:tc>
              <w:tc>
                <w:tcPr>
                  <w:tcW w:w="315" w:type="pct"/>
                  <w:vMerge w:val="restart"/>
                  <w:vAlign w:val="center"/>
                </w:tcPr>
                <w:p>
                  <w:pPr>
                    <w:jc w:val="center"/>
                    <w:rPr>
                      <w:rFonts w:ascii="Times New Roman" w:hAnsi="Times New Roman"/>
                      <w:sz w:val="18"/>
                      <w:szCs w:val="18"/>
                    </w:rPr>
                  </w:pPr>
                  <w:r>
                    <w:rPr>
                      <w:rFonts w:ascii="Times New Roman" w:hAnsi="Times New Roman"/>
                      <w:sz w:val="18"/>
                      <w:szCs w:val="18"/>
                    </w:rPr>
                    <w:t>名称</w:t>
                  </w:r>
                </w:p>
              </w:tc>
              <w:tc>
                <w:tcPr>
                  <w:tcW w:w="1125" w:type="pct"/>
                  <w:gridSpan w:val="2"/>
                  <w:vAlign w:val="center"/>
                </w:tcPr>
                <w:p>
                  <w:pPr>
                    <w:jc w:val="center"/>
                    <w:rPr>
                      <w:rFonts w:ascii="Times New Roman" w:hAnsi="Times New Roman"/>
                      <w:sz w:val="18"/>
                      <w:szCs w:val="18"/>
                    </w:rPr>
                  </w:pPr>
                  <w:r>
                    <w:rPr>
                      <w:rFonts w:ascii="Times New Roman" w:hAnsi="Times New Roman"/>
                      <w:sz w:val="18"/>
                      <w:szCs w:val="18"/>
                    </w:rPr>
                    <w:t>面源起点坐标</w:t>
                  </w:r>
                </w:p>
              </w:tc>
              <w:tc>
                <w:tcPr>
                  <w:tcW w:w="322" w:type="pct"/>
                  <w:vMerge w:val="restart"/>
                  <w:vAlign w:val="center"/>
                </w:tcPr>
                <w:p>
                  <w:pPr>
                    <w:jc w:val="center"/>
                    <w:rPr>
                      <w:rFonts w:ascii="Times New Roman" w:hAnsi="Times New Roman"/>
                      <w:sz w:val="18"/>
                      <w:szCs w:val="18"/>
                    </w:rPr>
                  </w:pPr>
                  <w:r>
                    <w:rPr>
                      <w:rFonts w:ascii="Times New Roman" w:hAnsi="Times New Roman"/>
                      <w:sz w:val="18"/>
                      <w:szCs w:val="18"/>
                    </w:rPr>
                    <w:t>面源海拔高度/m</w:t>
                  </w:r>
                </w:p>
              </w:tc>
              <w:tc>
                <w:tcPr>
                  <w:tcW w:w="329" w:type="pct"/>
                  <w:vMerge w:val="restart"/>
                  <w:vAlign w:val="center"/>
                </w:tcPr>
                <w:p>
                  <w:pPr>
                    <w:jc w:val="center"/>
                    <w:rPr>
                      <w:rFonts w:ascii="Times New Roman" w:hAnsi="Times New Roman"/>
                      <w:sz w:val="18"/>
                      <w:szCs w:val="18"/>
                    </w:rPr>
                  </w:pPr>
                  <w:r>
                    <w:rPr>
                      <w:rFonts w:ascii="Times New Roman" w:hAnsi="Times New Roman"/>
                      <w:sz w:val="18"/>
                      <w:szCs w:val="18"/>
                    </w:rPr>
                    <w:t>面源长度/m</w:t>
                  </w:r>
                </w:p>
              </w:tc>
              <w:tc>
                <w:tcPr>
                  <w:tcW w:w="329" w:type="pct"/>
                  <w:vMerge w:val="restart"/>
                  <w:vAlign w:val="center"/>
                </w:tcPr>
                <w:p>
                  <w:pPr>
                    <w:jc w:val="center"/>
                    <w:rPr>
                      <w:rFonts w:ascii="Times New Roman" w:hAnsi="Times New Roman"/>
                      <w:sz w:val="18"/>
                      <w:szCs w:val="18"/>
                    </w:rPr>
                  </w:pPr>
                  <w:r>
                    <w:rPr>
                      <w:rFonts w:ascii="Times New Roman" w:hAnsi="Times New Roman"/>
                      <w:sz w:val="18"/>
                      <w:szCs w:val="18"/>
                    </w:rPr>
                    <w:t>面源宽度/m</w:t>
                  </w:r>
                </w:p>
              </w:tc>
              <w:tc>
                <w:tcPr>
                  <w:tcW w:w="333" w:type="pct"/>
                  <w:vMerge w:val="restart"/>
                  <w:vAlign w:val="center"/>
                </w:tcPr>
                <w:p>
                  <w:pPr>
                    <w:jc w:val="center"/>
                    <w:rPr>
                      <w:rFonts w:ascii="Times New Roman" w:hAnsi="Times New Roman"/>
                      <w:sz w:val="18"/>
                      <w:szCs w:val="18"/>
                    </w:rPr>
                  </w:pPr>
                  <w:r>
                    <w:rPr>
                      <w:rFonts w:ascii="Times New Roman" w:hAnsi="Times New Roman"/>
                      <w:sz w:val="18"/>
                      <w:szCs w:val="18"/>
                    </w:rPr>
                    <w:t>与正北方向夹角/°</w:t>
                  </w:r>
                </w:p>
              </w:tc>
              <w:tc>
                <w:tcPr>
                  <w:tcW w:w="336" w:type="pct"/>
                  <w:vMerge w:val="restart"/>
                  <w:vAlign w:val="center"/>
                </w:tcPr>
                <w:p>
                  <w:pPr>
                    <w:jc w:val="center"/>
                    <w:rPr>
                      <w:rFonts w:ascii="Times New Roman" w:hAnsi="Times New Roman"/>
                      <w:sz w:val="18"/>
                      <w:szCs w:val="18"/>
                    </w:rPr>
                  </w:pPr>
                  <w:r>
                    <w:rPr>
                      <w:rFonts w:ascii="Times New Roman" w:hAnsi="Times New Roman"/>
                      <w:sz w:val="18"/>
                      <w:szCs w:val="18"/>
                    </w:rPr>
                    <w:t>面源有效排放高度/m</w:t>
                  </w:r>
                </w:p>
              </w:tc>
              <w:tc>
                <w:tcPr>
                  <w:tcW w:w="349" w:type="pct"/>
                  <w:vMerge w:val="restart"/>
                  <w:vAlign w:val="center"/>
                </w:tcPr>
                <w:p>
                  <w:pPr>
                    <w:jc w:val="center"/>
                    <w:rPr>
                      <w:rFonts w:ascii="Times New Roman" w:hAnsi="Times New Roman"/>
                      <w:sz w:val="18"/>
                      <w:szCs w:val="18"/>
                    </w:rPr>
                  </w:pPr>
                  <w:r>
                    <w:rPr>
                      <w:rFonts w:ascii="Times New Roman" w:hAnsi="Times New Roman"/>
                      <w:sz w:val="18"/>
                      <w:szCs w:val="18"/>
                    </w:rPr>
                    <w:t>年排放小时数/h</w:t>
                  </w:r>
                </w:p>
              </w:tc>
              <w:tc>
                <w:tcPr>
                  <w:tcW w:w="609" w:type="pct"/>
                  <w:vMerge w:val="restart"/>
                  <w:vAlign w:val="center"/>
                </w:tcPr>
                <w:p>
                  <w:pPr>
                    <w:jc w:val="center"/>
                    <w:rPr>
                      <w:rFonts w:ascii="Times New Roman" w:hAnsi="Times New Roman"/>
                      <w:sz w:val="18"/>
                      <w:szCs w:val="18"/>
                    </w:rPr>
                  </w:pPr>
                  <w:r>
                    <w:rPr>
                      <w:rFonts w:ascii="Times New Roman" w:hAnsi="Times New Roman"/>
                      <w:sz w:val="18"/>
                      <w:szCs w:val="18"/>
                    </w:rPr>
                    <w:t>排放</w:t>
                  </w:r>
                </w:p>
                <w:p>
                  <w:pPr>
                    <w:jc w:val="center"/>
                    <w:rPr>
                      <w:rFonts w:ascii="Times New Roman" w:hAnsi="Times New Roman"/>
                      <w:sz w:val="18"/>
                      <w:szCs w:val="18"/>
                    </w:rPr>
                  </w:pPr>
                  <w:r>
                    <w:rPr>
                      <w:rFonts w:ascii="Times New Roman" w:hAnsi="Times New Roman"/>
                      <w:sz w:val="18"/>
                      <w:szCs w:val="18"/>
                    </w:rPr>
                    <w:t>工况</w:t>
                  </w:r>
                </w:p>
              </w:tc>
              <w:tc>
                <w:tcPr>
                  <w:tcW w:w="736" w:type="pct"/>
                  <w:vAlign w:val="center"/>
                </w:tcPr>
                <w:p>
                  <w:pPr>
                    <w:jc w:val="center"/>
                    <w:rPr>
                      <w:rFonts w:ascii="Times New Roman" w:hAnsi="Times New Roman"/>
                      <w:sz w:val="18"/>
                      <w:szCs w:val="18"/>
                    </w:rPr>
                  </w:pPr>
                  <w:r>
                    <w:rPr>
                      <w:rFonts w:ascii="Times New Roman" w:hAnsi="Times New Roman"/>
                      <w:sz w:val="18"/>
                      <w:szCs w:val="18"/>
                    </w:rPr>
                    <w:t>污染物排放速率/(kg/h)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17" w:type="pct"/>
                  <w:vMerge w:val="continue"/>
                  <w:vAlign w:val="center"/>
                </w:tcPr>
                <w:p>
                  <w:pPr>
                    <w:jc w:val="center"/>
                    <w:rPr>
                      <w:rFonts w:ascii="Times New Roman" w:hAnsi="Times New Roman"/>
                      <w:sz w:val="18"/>
                      <w:szCs w:val="18"/>
                    </w:rPr>
                  </w:pPr>
                </w:p>
              </w:tc>
              <w:tc>
                <w:tcPr>
                  <w:tcW w:w="315" w:type="pct"/>
                  <w:vMerge w:val="continue"/>
                  <w:vAlign w:val="center"/>
                </w:tcPr>
                <w:p>
                  <w:pPr>
                    <w:jc w:val="center"/>
                    <w:rPr>
                      <w:rFonts w:ascii="Times New Roman" w:hAnsi="Times New Roman"/>
                      <w:sz w:val="18"/>
                      <w:szCs w:val="18"/>
                    </w:rPr>
                  </w:pPr>
                </w:p>
              </w:tc>
              <w:tc>
                <w:tcPr>
                  <w:tcW w:w="587" w:type="pct"/>
                  <w:vAlign w:val="center"/>
                </w:tcPr>
                <w:p>
                  <w:pPr>
                    <w:jc w:val="center"/>
                    <w:rPr>
                      <w:rFonts w:ascii="Times New Roman" w:hAnsi="Times New Roman"/>
                      <w:sz w:val="18"/>
                      <w:szCs w:val="18"/>
                    </w:rPr>
                  </w:pPr>
                  <w:r>
                    <w:rPr>
                      <w:rFonts w:ascii="Times New Roman" w:hAnsi="Times New Roman"/>
                      <w:sz w:val="18"/>
                      <w:szCs w:val="18"/>
                    </w:rPr>
                    <w:t>E</w:t>
                  </w:r>
                </w:p>
              </w:tc>
              <w:tc>
                <w:tcPr>
                  <w:tcW w:w="538" w:type="pct"/>
                  <w:vAlign w:val="center"/>
                </w:tcPr>
                <w:p>
                  <w:pPr>
                    <w:jc w:val="center"/>
                    <w:rPr>
                      <w:rFonts w:ascii="Times New Roman" w:hAnsi="Times New Roman"/>
                      <w:sz w:val="18"/>
                      <w:szCs w:val="18"/>
                    </w:rPr>
                  </w:pPr>
                  <w:r>
                    <w:rPr>
                      <w:rFonts w:ascii="Times New Roman" w:hAnsi="Times New Roman"/>
                      <w:sz w:val="18"/>
                      <w:szCs w:val="18"/>
                    </w:rPr>
                    <w:t>N</w:t>
                  </w:r>
                </w:p>
              </w:tc>
              <w:tc>
                <w:tcPr>
                  <w:tcW w:w="322" w:type="pct"/>
                  <w:vMerge w:val="continue"/>
                  <w:vAlign w:val="center"/>
                </w:tcPr>
                <w:p>
                  <w:pPr>
                    <w:jc w:val="center"/>
                    <w:rPr>
                      <w:rFonts w:ascii="Times New Roman" w:hAnsi="Times New Roman"/>
                      <w:sz w:val="18"/>
                      <w:szCs w:val="18"/>
                    </w:rPr>
                  </w:pPr>
                </w:p>
              </w:tc>
              <w:tc>
                <w:tcPr>
                  <w:tcW w:w="329" w:type="pct"/>
                  <w:vMerge w:val="continue"/>
                  <w:vAlign w:val="center"/>
                </w:tcPr>
                <w:p>
                  <w:pPr>
                    <w:jc w:val="center"/>
                    <w:rPr>
                      <w:rFonts w:ascii="Times New Roman" w:hAnsi="Times New Roman"/>
                      <w:sz w:val="18"/>
                      <w:szCs w:val="18"/>
                    </w:rPr>
                  </w:pPr>
                </w:p>
              </w:tc>
              <w:tc>
                <w:tcPr>
                  <w:tcW w:w="329" w:type="pct"/>
                  <w:vMerge w:val="continue"/>
                  <w:vAlign w:val="center"/>
                </w:tcPr>
                <w:p>
                  <w:pPr>
                    <w:jc w:val="center"/>
                    <w:rPr>
                      <w:rFonts w:ascii="Times New Roman" w:hAnsi="Times New Roman"/>
                      <w:sz w:val="18"/>
                      <w:szCs w:val="18"/>
                    </w:rPr>
                  </w:pPr>
                </w:p>
              </w:tc>
              <w:tc>
                <w:tcPr>
                  <w:tcW w:w="333" w:type="pct"/>
                  <w:vMerge w:val="continue"/>
                  <w:vAlign w:val="center"/>
                </w:tcPr>
                <w:p>
                  <w:pPr>
                    <w:jc w:val="center"/>
                    <w:rPr>
                      <w:rFonts w:ascii="Times New Roman" w:hAnsi="Times New Roman"/>
                      <w:sz w:val="18"/>
                      <w:szCs w:val="18"/>
                    </w:rPr>
                  </w:pPr>
                </w:p>
              </w:tc>
              <w:tc>
                <w:tcPr>
                  <w:tcW w:w="336" w:type="pct"/>
                  <w:vMerge w:val="continue"/>
                  <w:vAlign w:val="center"/>
                </w:tcPr>
                <w:p>
                  <w:pPr>
                    <w:jc w:val="center"/>
                    <w:rPr>
                      <w:rFonts w:ascii="Times New Roman" w:hAnsi="Times New Roman"/>
                      <w:sz w:val="18"/>
                      <w:szCs w:val="18"/>
                    </w:rPr>
                  </w:pPr>
                </w:p>
              </w:tc>
              <w:tc>
                <w:tcPr>
                  <w:tcW w:w="349" w:type="pct"/>
                  <w:vMerge w:val="continue"/>
                  <w:vAlign w:val="center"/>
                </w:tcPr>
                <w:p>
                  <w:pPr>
                    <w:jc w:val="center"/>
                    <w:rPr>
                      <w:rFonts w:ascii="Times New Roman" w:hAnsi="Times New Roman"/>
                      <w:sz w:val="18"/>
                      <w:szCs w:val="18"/>
                    </w:rPr>
                  </w:pPr>
                </w:p>
              </w:tc>
              <w:tc>
                <w:tcPr>
                  <w:tcW w:w="609" w:type="pct"/>
                  <w:vMerge w:val="continue"/>
                  <w:vAlign w:val="center"/>
                </w:tcPr>
                <w:p>
                  <w:pPr>
                    <w:jc w:val="center"/>
                    <w:rPr>
                      <w:rFonts w:ascii="Times New Roman" w:hAnsi="Times New Roman"/>
                      <w:sz w:val="18"/>
                      <w:szCs w:val="18"/>
                    </w:rPr>
                  </w:pPr>
                </w:p>
              </w:tc>
              <w:tc>
                <w:tcPr>
                  <w:tcW w:w="736" w:type="pct"/>
                  <w:vAlign w:val="center"/>
                </w:tcPr>
                <w:p>
                  <w:pPr>
                    <w:jc w:val="center"/>
                    <w:rPr>
                      <w:rFonts w:ascii="Times New Roman" w:hAnsi="Times New Roman"/>
                      <w:kern w:val="0"/>
                      <w:sz w:val="18"/>
                      <w:szCs w:val="18"/>
                    </w:rPr>
                  </w:pPr>
                  <w:r>
                    <w:rPr>
                      <w:rFonts w:ascii="Times New Roman" w:hAnsi="Times New Roman"/>
                      <w:kern w:val="0"/>
                      <w:sz w:val="18"/>
                      <w:szCs w:val="18"/>
                    </w:rPr>
                    <w:t>非甲烷总烃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7" w:type="pct"/>
                  <w:vMerge w:val="restart"/>
                  <w:vAlign w:val="center"/>
                </w:tcPr>
                <w:p>
                  <w:pPr>
                    <w:jc w:val="center"/>
                    <w:rPr>
                      <w:rFonts w:ascii="Times New Roman" w:hAnsi="Times New Roman"/>
                      <w:sz w:val="18"/>
                      <w:szCs w:val="18"/>
                    </w:rPr>
                  </w:pPr>
                  <w:r>
                    <w:rPr>
                      <w:rFonts w:ascii="Times New Roman" w:hAnsi="Times New Roman"/>
                      <w:sz w:val="18"/>
                      <w:szCs w:val="18"/>
                    </w:rPr>
                    <w:t>1</w:t>
                  </w:r>
                </w:p>
              </w:tc>
              <w:tc>
                <w:tcPr>
                  <w:tcW w:w="315" w:type="pct"/>
                  <w:vMerge w:val="restart"/>
                  <w:vAlign w:val="center"/>
                </w:tcPr>
                <w:p>
                  <w:pPr>
                    <w:jc w:val="center"/>
                    <w:rPr>
                      <w:rFonts w:ascii="Times New Roman" w:hAnsi="Times New Roman"/>
                      <w:sz w:val="18"/>
                      <w:szCs w:val="18"/>
                    </w:rPr>
                  </w:pPr>
                  <w:r>
                    <w:rPr>
                      <w:rFonts w:ascii="Times New Roman" w:hAnsi="Times New Roman"/>
                      <w:sz w:val="18"/>
                      <w:szCs w:val="18"/>
                    </w:rPr>
                    <w:t>非甲烷总烃</w:t>
                  </w:r>
                </w:p>
              </w:tc>
              <w:tc>
                <w:tcPr>
                  <w:tcW w:w="587" w:type="pct"/>
                  <w:vAlign w:val="center"/>
                </w:tcPr>
                <w:p>
                  <w:pPr>
                    <w:jc w:val="center"/>
                    <w:rPr>
                      <w:rFonts w:ascii="Times New Roman" w:hAnsi="Times New Roman"/>
                      <w:sz w:val="18"/>
                      <w:szCs w:val="18"/>
                    </w:rPr>
                  </w:pPr>
                  <w:r>
                    <w:rPr>
                      <w:rFonts w:ascii="Times New Roman" w:hAnsi="Times New Roman"/>
                      <w:sz w:val="18"/>
                      <w:szCs w:val="18"/>
                    </w:rPr>
                    <w:t>132.628412</w:t>
                  </w:r>
                </w:p>
              </w:tc>
              <w:tc>
                <w:tcPr>
                  <w:tcW w:w="538" w:type="pct"/>
                  <w:vAlign w:val="center"/>
                </w:tcPr>
                <w:p>
                  <w:pPr>
                    <w:jc w:val="center"/>
                    <w:rPr>
                      <w:rFonts w:ascii="Times New Roman" w:hAnsi="Times New Roman"/>
                      <w:sz w:val="18"/>
                      <w:szCs w:val="18"/>
                    </w:rPr>
                  </w:pPr>
                  <w:r>
                    <w:rPr>
                      <w:rFonts w:ascii="Times New Roman" w:hAnsi="Times New Roman"/>
                      <w:sz w:val="18"/>
                      <w:szCs w:val="18"/>
                    </w:rPr>
                    <w:t>47.738934</w:t>
                  </w:r>
                </w:p>
              </w:tc>
              <w:tc>
                <w:tcPr>
                  <w:tcW w:w="322" w:type="pct"/>
                  <w:vAlign w:val="center"/>
                </w:tcPr>
                <w:p>
                  <w:pPr>
                    <w:jc w:val="center"/>
                    <w:rPr>
                      <w:rFonts w:ascii="Times New Roman" w:hAnsi="Times New Roman"/>
                      <w:sz w:val="18"/>
                      <w:szCs w:val="18"/>
                    </w:rPr>
                  </w:pPr>
                  <w:r>
                    <w:rPr>
                      <w:rFonts w:hint="eastAsia" w:ascii="Times New Roman" w:hAnsi="Times New Roman"/>
                      <w:sz w:val="18"/>
                      <w:szCs w:val="18"/>
                    </w:rPr>
                    <w:t>51</w:t>
                  </w:r>
                </w:p>
              </w:tc>
              <w:tc>
                <w:tcPr>
                  <w:tcW w:w="329" w:type="pct"/>
                  <w:vAlign w:val="center"/>
                </w:tcPr>
                <w:p>
                  <w:pPr>
                    <w:jc w:val="center"/>
                    <w:rPr>
                      <w:rFonts w:ascii="Times New Roman" w:hAnsi="Times New Roman"/>
                      <w:sz w:val="18"/>
                      <w:szCs w:val="18"/>
                    </w:rPr>
                  </w:pPr>
                  <w:r>
                    <w:rPr>
                      <w:rFonts w:hint="eastAsia" w:ascii="Times New Roman" w:hAnsi="Times New Roman"/>
                      <w:sz w:val="18"/>
                      <w:szCs w:val="18"/>
                    </w:rPr>
                    <w:t>40</w:t>
                  </w:r>
                </w:p>
              </w:tc>
              <w:tc>
                <w:tcPr>
                  <w:tcW w:w="329" w:type="pct"/>
                  <w:vAlign w:val="center"/>
                </w:tcPr>
                <w:p>
                  <w:pPr>
                    <w:jc w:val="center"/>
                    <w:rPr>
                      <w:rFonts w:ascii="Times New Roman" w:hAnsi="Times New Roman"/>
                      <w:sz w:val="18"/>
                      <w:szCs w:val="18"/>
                    </w:rPr>
                  </w:pPr>
                  <w:r>
                    <w:rPr>
                      <w:rFonts w:hint="eastAsia" w:ascii="Times New Roman" w:hAnsi="Times New Roman"/>
                      <w:sz w:val="18"/>
                      <w:szCs w:val="18"/>
                    </w:rPr>
                    <w:t>30</w:t>
                  </w:r>
                </w:p>
              </w:tc>
              <w:tc>
                <w:tcPr>
                  <w:tcW w:w="333" w:type="pct"/>
                  <w:vAlign w:val="center"/>
                </w:tcPr>
                <w:p>
                  <w:pPr>
                    <w:jc w:val="center"/>
                    <w:rPr>
                      <w:rFonts w:ascii="Times New Roman" w:hAnsi="Times New Roman"/>
                      <w:sz w:val="18"/>
                      <w:szCs w:val="18"/>
                    </w:rPr>
                  </w:pPr>
                  <w:r>
                    <w:rPr>
                      <w:rFonts w:hint="eastAsia" w:ascii="Times New Roman" w:hAnsi="Times New Roman"/>
                      <w:sz w:val="18"/>
                      <w:szCs w:val="18"/>
                    </w:rPr>
                    <w:t>35</w:t>
                  </w:r>
                </w:p>
              </w:tc>
              <w:tc>
                <w:tcPr>
                  <w:tcW w:w="336" w:type="pct"/>
                  <w:vAlign w:val="center"/>
                </w:tcPr>
                <w:p>
                  <w:pPr>
                    <w:jc w:val="center"/>
                    <w:rPr>
                      <w:rFonts w:ascii="Times New Roman" w:hAnsi="Times New Roman"/>
                      <w:sz w:val="18"/>
                      <w:szCs w:val="18"/>
                    </w:rPr>
                  </w:pPr>
                  <w:r>
                    <w:rPr>
                      <w:rFonts w:hint="eastAsia" w:ascii="Times New Roman" w:hAnsi="Times New Roman"/>
                      <w:sz w:val="18"/>
                      <w:szCs w:val="18"/>
                    </w:rPr>
                    <w:t>4</w:t>
                  </w:r>
                </w:p>
              </w:tc>
              <w:tc>
                <w:tcPr>
                  <w:tcW w:w="349" w:type="pct"/>
                  <w:vAlign w:val="center"/>
                </w:tcPr>
                <w:p>
                  <w:pPr>
                    <w:jc w:val="center"/>
                    <w:rPr>
                      <w:rFonts w:ascii="Times New Roman" w:hAnsi="Times New Roman"/>
                      <w:sz w:val="18"/>
                      <w:szCs w:val="18"/>
                    </w:rPr>
                  </w:pPr>
                  <w:r>
                    <w:rPr>
                      <w:rFonts w:hint="eastAsia" w:ascii="Times New Roman" w:hAnsi="Times New Roman"/>
                      <w:sz w:val="18"/>
                      <w:szCs w:val="18"/>
                    </w:rPr>
                    <w:t>8760</w:t>
                  </w:r>
                </w:p>
              </w:tc>
              <w:tc>
                <w:tcPr>
                  <w:tcW w:w="609" w:type="pct"/>
                  <w:vAlign w:val="center"/>
                </w:tcPr>
                <w:p>
                  <w:pPr>
                    <w:jc w:val="center"/>
                    <w:rPr>
                      <w:rFonts w:ascii="Times New Roman" w:hAnsi="Times New Roman"/>
                      <w:sz w:val="18"/>
                      <w:szCs w:val="18"/>
                    </w:rPr>
                  </w:pPr>
                  <w:r>
                    <w:rPr>
                      <w:rFonts w:ascii="Times New Roman" w:hAnsi="Times New Roman"/>
                      <w:sz w:val="18"/>
                      <w:szCs w:val="18"/>
                    </w:rPr>
                    <w:t>正常工况</w:t>
                  </w:r>
                </w:p>
              </w:tc>
              <w:tc>
                <w:tcPr>
                  <w:tcW w:w="736" w:type="pct"/>
                  <w:vAlign w:val="center"/>
                </w:tcPr>
                <w:p>
                  <w:pPr>
                    <w:pStyle w:val="63"/>
                    <w:spacing w:line="240" w:lineRule="auto"/>
                    <w:rPr>
                      <w:sz w:val="18"/>
                      <w:szCs w:val="18"/>
                    </w:rPr>
                  </w:pPr>
                  <w:r>
                    <w:rPr>
                      <w:rFonts w:hint="eastAsia"/>
                      <w:sz w:val="18"/>
                      <w:szCs w:val="18"/>
                    </w:rPr>
                    <w:t>0.053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7" w:type="pct"/>
                  <w:vMerge w:val="continue"/>
                  <w:vAlign w:val="center"/>
                </w:tcPr>
                <w:p>
                  <w:pPr>
                    <w:jc w:val="center"/>
                    <w:rPr>
                      <w:rFonts w:ascii="Times New Roman" w:hAnsi="Times New Roman"/>
                      <w:sz w:val="18"/>
                      <w:szCs w:val="18"/>
                    </w:rPr>
                  </w:pPr>
                </w:p>
              </w:tc>
              <w:tc>
                <w:tcPr>
                  <w:tcW w:w="315" w:type="pct"/>
                  <w:vMerge w:val="continue"/>
                  <w:vAlign w:val="center"/>
                </w:tcPr>
                <w:p>
                  <w:pPr>
                    <w:jc w:val="center"/>
                    <w:rPr>
                      <w:rFonts w:ascii="Times New Roman" w:hAnsi="Times New Roman"/>
                      <w:sz w:val="18"/>
                      <w:szCs w:val="18"/>
                    </w:rPr>
                  </w:pPr>
                </w:p>
              </w:tc>
              <w:tc>
                <w:tcPr>
                  <w:tcW w:w="587" w:type="pct"/>
                  <w:vAlign w:val="center"/>
                </w:tcPr>
                <w:p>
                  <w:pPr>
                    <w:jc w:val="center"/>
                    <w:rPr>
                      <w:rFonts w:ascii="Times New Roman" w:hAnsi="Times New Roman"/>
                      <w:sz w:val="18"/>
                      <w:szCs w:val="18"/>
                    </w:rPr>
                  </w:pPr>
                  <w:r>
                    <w:rPr>
                      <w:rFonts w:ascii="Times New Roman" w:hAnsi="Times New Roman"/>
                      <w:sz w:val="18"/>
                      <w:szCs w:val="18"/>
                    </w:rPr>
                    <w:t>132.628412</w:t>
                  </w:r>
                </w:p>
              </w:tc>
              <w:tc>
                <w:tcPr>
                  <w:tcW w:w="538" w:type="pct"/>
                  <w:vAlign w:val="center"/>
                </w:tcPr>
                <w:p>
                  <w:pPr>
                    <w:jc w:val="center"/>
                    <w:rPr>
                      <w:rFonts w:ascii="Times New Roman" w:hAnsi="Times New Roman"/>
                      <w:sz w:val="18"/>
                      <w:szCs w:val="18"/>
                    </w:rPr>
                  </w:pPr>
                  <w:r>
                    <w:rPr>
                      <w:rFonts w:ascii="Times New Roman" w:hAnsi="Times New Roman"/>
                      <w:sz w:val="18"/>
                      <w:szCs w:val="18"/>
                    </w:rPr>
                    <w:t>47.738934</w:t>
                  </w:r>
                </w:p>
              </w:tc>
              <w:tc>
                <w:tcPr>
                  <w:tcW w:w="322" w:type="pct"/>
                  <w:vAlign w:val="center"/>
                </w:tcPr>
                <w:p>
                  <w:pPr>
                    <w:jc w:val="center"/>
                    <w:rPr>
                      <w:rFonts w:ascii="Times New Roman" w:hAnsi="Times New Roman"/>
                      <w:sz w:val="18"/>
                      <w:szCs w:val="18"/>
                    </w:rPr>
                  </w:pPr>
                  <w:r>
                    <w:rPr>
                      <w:rFonts w:hint="eastAsia" w:ascii="Times New Roman" w:hAnsi="Times New Roman"/>
                      <w:sz w:val="18"/>
                      <w:szCs w:val="18"/>
                    </w:rPr>
                    <w:t>51</w:t>
                  </w:r>
                </w:p>
              </w:tc>
              <w:tc>
                <w:tcPr>
                  <w:tcW w:w="329" w:type="pct"/>
                  <w:vAlign w:val="center"/>
                </w:tcPr>
                <w:p>
                  <w:pPr>
                    <w:jc w:val="center"/>
                    <w:rPr>
                      <w:rFonts w:ascii="Times New Roman" w:hAnsi="Times New Roman"/>
                      <w:sz w:val="18"/>
                      <w:szCs w:val="18"/>
                    </w:rPr>
                  </w:pPr>
                  <w:r>
                    <w:rPr>
                      <w:rFonts w:hint="eastAsia" w:ascii="Times New Roman" w:hAnsi="Times New Roman"/>
                      <w:sz w:val="18"/>
                      <w:szCs w:val="18"/>
                    </w:rPr>
                    <w:t>40</w:t>
                  </w:r>
                </w:p>
              </w:tc>
              <w:tc>
                <w:tcPr>
                  <w:tcW w:w="329" w:type="pct"/>
                  <w:vAlign w:val="center"/>
                </w:tcPr>
                <w:p>
                  <w:pPr>
                    <w:jc w:val="center"/>
                    <w:rPr>
                      <w:rFonts w:ascii="Times New Roman" w:hAnsi="Times New Roman"/>
                      <w:sz w:val="18"/>
                      <w:szCs w:val="18"/>
                    </w:rPr>
                  </w:pPr>
                  <w:r>
                    <w:rPr>
                      <w:rFonts w:hint="eastAsia" w:ascii="Times New Roman" w:hAnsi="Times New Roman"/>
                      <w:sz w:val="18"/>
                      <w:szCs w:val="18"/>
                    </w:rPr>
                    <w:t>30</w:t>
                  </w:r>
                </w:p>
              </w:tc>
              <w:tc>
                <w:tcPr>
                  <w:tcW w:w="333" w:type="pct"/>
                  <w:vAlign w:val="center"/>
                </w:tcPr>
                <w:p>
                  <w:pPr>
                    <w:jc w:val="center"/>
                    <w:rPr>
                      <w:rFonts w:ascii="Times New Roman" w:hAnsi="Times New Roman"/>
                      <w:sz w:val="18"/>
                      <w:szCs w:val="18"/>
                    </w:rPr>
                  </w:pPr>
                  <w:r>
                    <w:rPr>
                      <w:rFonts w:hint="eastAsia" w:ascii="Times New Roman" w:hAnsi="Times New Roman"/>
                      <w:sz w:val="18"/>
                      <w:szCs w:val="18"/>
                    </w:rPr>
                    <w:t>35</w:t>
                  </w:r>
                </w:p>
              </w:tc>
              <w:tc>
                <w:tcPr>
                  <w:tcW w:w="336" w:type="pct"/>
                  <w:vAlign w:val="center"/>
                </w:tcPr>
                <w:p>
                  <w:pPr>
                    <w:jc w:val="center"/>
                    <w:rPr>
                      <w:rFonts w:ascii="Times New Roman" w:hAnsi="Times New Roman"/>
                      <w:sz w:val="18"/>
                      <w:szCs w:val="18"/>
                    </w:rPr>
                  </w:pPr>
                  <w:r>
                    <w:rPr>
                      <w:rFonts w:hint="eastAsia" w:ascii="Times New Roman" w:hAnsi="Times New Roman"/>
                      <w:sz w:val="18"/>
                      <w:szCs w:val="18"/>
                    </w:rPr>
                    <w:t>4</w:t>
                  </w:r>
                </w:p>
              </w:tc>
              <w:tc>
                <w:tcPr>
                  <w:tcW w:w="349" w:type="pct"/>
                  <w:vAlign w:val="center"/>
                </w:tcPr>
                <w:p>
                  <w:pPr>
                    <w:jc w:val="center"/>
                    <w:rPr>
                      <w:rFonts w:ascii="Times New Roman" w:hAnsi="Times New Roman"/>
                      <w:sz w:val="18"/>
                      <w:szCs w:val="18"/>
                    </w:rPr>
                  </w:pPr>
                  <w:r>
                    <w:rPr>
                      <w:rFonts w:hint="eastAsia" w:ascii="Times New Roman" w:hAnsi="Times New Roman"/>
                      <w:sz w:val="18"/>
                      <w:szCs w:val="18"/>
                    </w:rPr>
                    <w:t>8760</w:t>
                  </w:r>
                </w:p>
              </w:tc>
              <w:tc>
                <w:tcPr>
                  <w:tcW w:w="609" w:type="pct"/>
                  <w:vAlign w:val="center"/>
                </w:tcPr>
                <w:p>
                  <w:pPr>
                    <w:jc w:val="center"/>
                    <w:rPr>
                      <w:rFonts w:ascii="Times New Roman" w:hAnsi="Times New Roman"/>
                      <w:sz w:val="18"/>
                      <w:szCs w:val="18"/>
                    </w:rPr>
                  </w:pPr>
                  <w:r>
                    <w:rPr>
                      <w:rFonts w:hint="eastAsia" w:ascii="Times New Roman" w:hAnsi="Times New Roman"/>
                      <w:sz w:val="18"/>
                      <w:szCs w:val="18"/>
                    </w:rPr>
                    <w:t>非正常工况</w:t>
                  </w:r>
                </w:p>
              </w:tc>
              <w:tc>
                <w:tcPr>
                  <w:tcW w:w="736" w:type="pct"/>
                  <w:vAlign w:val="center"/>
                </w:tcPr>
                <w:p>
                  <w:pPr>
                    <w:pStyle w:val="63"/>
                    <w:spacing w:line="240" w:lineRule="auto"/>
                    <w:rPr>
                      <w:sz w:val="18"/>
                      <w:szCs w:val="18"/>
                    </w:rPr>
                  </w:pPr>
                  <w:r>
                    <w:rPr>
                      <w:rFonts w:hint="eastAsia"/>
                      <w:sz w:val="18"/>
                      <w:szCs w:val="18"/>
                    </w:rPr>
                    <w:t>0.46</w:t>
                  </w:r>
                </w:p>
              </w:tc>
            </w:tr>
          </w:tbl>
          <w:p>
            <w:pPr>
              <w:spacing w:line="360" w:lineRule="auto"/>
              <w:ind w:firstLine="560" w:firstLineChars="200"/>
              <w:rPr>
                <w:rFonts w:ascii="Times New Roman" w:hAnsi="Times New Roman"/>
                <w:sz w:val="28"/>
                <w:szCs w:val="28"/>
              </w:rPr>
            </w:pPr>
            <w:r>
              <w:rPr>
                <w:rFonts w:ascii="Times New Roman" w:hAnsi="Times New Roman"/>
                <w:sz w:val="28"/>
                <w:szCs w:val="28"/>
              </w:rPr>
              <w:t>估算模式参数如下表所示。</w:t>
            </w:r>
          </w:p>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 xml:space="preserve">34 </w:t>
            </w:r>
            <w:r>
              <w:rPr>
                <w:rFonts w:ascii="Times New Roman" w:hAnsi="Times New Roman"/>
                <w:b/>
                <w:sz w:val="24"/>
              </w:rPr>
              <w:t xml:space="preserve">    估算模型参数表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3041"/>
              <w:gridCol w:w="30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3333" w:type="pct"/>
                  <w:gridSpan w:val="2"/>
                  <w:vAlign w:val="center"/>
                </w:tcPr>
                <w:p>
                  <w:pPr>
                    <w:spacing w:line="300" w:lineRule="auto"/>
                    <w:jc w:val="center"/>
                    <w:rPr>
                      <w:rFonts w:ascii="Times New Roman" w:hAnsi="Times New Roman"/>
                    </w:rPr>
                  </w:pPr>
                  <w:r>
                    <w:rPr>
                      <w:rFonts w:ascii="Times New Roman" w:hAnsi="Times New Roman"/>
                    </w:rPr>
                    <w:t>参数</w:t>
                  </w:r>
                </w:p>
              </w:tc>
              <w:tc>
                <w:tcPr>
                  <w:tcW w:w="1667" w:type="pct"/>
                  <w:vAlign w:val="center"/>
                </w:tcPr>
                <w:p>
                  <w:pPr>
                    <w:spacing w:line="300" w:lineRule="auto"/>
                    <w:jc w:val="center"/>
                    <w:rPr>
                      <w:rFonts w:ascii="Times New Roman" w:hAnsi="Times New Roman"/>
                    </w:rPr>
                  </w:pPr>
                  <w:r>
                    <w:rPr>
                      <w:rFonts w:ascii="Times New Roman" w:hAnsi="Times New Roman"/>
                    </w:rPr>
                    <w:t>取值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vMerge w:val="restart"/>
                  <w:vAlign w:val="center"/>
                </w:tcPr>
                <w:p>
                  <w:pPr>
                    <w:spacing w:line="300" w:lineRule="auto"/>
                    <w:jc w:val="center"/>
                    <w:rPr>
                      <w:rFonts w:ascii="Times New Roman" w:hAnsi="Times New Roman"/>
                    </w:rPr>
                  </w:pPr>
                  <w:r>
                    <w:rPr>
                      <w:rFonts w:ascii="Times New Roman" w:hAnsi="Times New Roman"/>
                    </w:rPr>
                    <w:t>城市/农村选项</w:t>
                  </w:r>
                </w:p>
              </w:tc>
              <w:tc>
                <w:tcPr>
                  <w:tcW w:w="1667" w:type="pct"/>
                  <w:vAlign w:val="center"/>
                </w:tcPr>
                <w:p>
                  <w:pPr>
                    <w:spacing w:line="300" w:lineRule="auto"/>
                    <w:jc w:val="center"/>
                    <w:rPr>
                      <w:rFonts w:ascii="Times New Roman" w:hAnsi="Times New Roman"/>
                    </w:rPr>
                  </w:pPr>
                  <w:r>
                    <w:rPr>
                      <w:rFonts w:ascii="Times New Roman" w:hAnsi="Times New Roman"/>
                    </w:rPr>
                    <w:t>城市/农村</w:t>
                  </w:r>
                </w:p>
              </w:tc>
              <w:tc>
                <w:tcPr>
                  <w:tcW w:w="1667" w:type="pct"/>
                  <w:vAlign w:val="center"/>
                </w:tcPr>
                <w:p>
                  <w:pPr>
                    <w:spacing w:line="300" w:lineRule="auto"/>
                    <w:jc w:val="center"/>
                    <w:rPr>
                      <w:rFonts w:ascii="Times New Roman" w:hAnsi="Times New Roman"/>
                    </w:rPr>
                  </w:pPr>
                  <w:r>
                    <w:rPr>
                      <w:rFonts w:ascii="Times New Roman" w:hAnsi="Times New Roman"/>
                    </w:rPr>
                    <w:t>农村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vMerge w:val="continue"/>
                  <w:vAlign w:val="center"/>
                </w:tcPr>
                <w:p>
                  <w:pPr>
                    <w:spacing w:line="300" w:lineRule="auto"/>
                    <w:jc w:val="center"/>
                    <w:rPr>
                      <w:rFonts w:ascii="Times New Roman" w:hAnsi="Times New Roman"/>
                    </w:rPr>
                  </w:pPr>
                </w:p>
              </w:tc>
              <w:tc>
                <w:tcPr>
                  <w:tcW w:w="1667" w:type="pct"/>
                  <w:vAlign w:val="center"/>
                </w:tcPr>
                <w:p>
                  <w:pPr>
                    <w:spacing w:line="300" w:lineRule="auto"/>
                    <w:jc w:val="center"/>
                    <w:rPr>
                      <w:rFonts w:ascii="Times New Roman" w:hAnsi="Times New Roman"/>
                    </w:rPr>
                  </w:pPr>
                  <w:r>
                    <w:rPr>
                      <w:rFonts w:ascii="Times New Roman" w:hAnsi="Times New Roman"/>
                    </w:rPr>
                    <w:t>人口数（城市选项时）</w:t>
                  </w:r>
                </w:p>
              </w:tc>
              <w:tc>
                <w:tcPr>
                  <w:tcW w:w="1667" w:type="pct"/>
                  <w:vAlign w:val="center"/>
                </w:tcPr>
                <w:p>
                  <w:pPr>
                    <w:spacing w:line="300" w:lineRule="auto"/>
                    <w:jc w:val="center"/>
                    <w:rPr>
                      <w:rFonts w:ascii="Times New Roman" w:hAnsi="Times New Roman"/>
                    </w:rPr>
                  </w:pPr>
                  <w:r>
                    <w:rPr>
                      <w:rFonts w:ascii="Times New Roman" w:hAnsi="Times New Roma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3" w:type="pct"/>
                  <w:gridSpan w:val="2"/>
                  <w:vAlign w:val="center"/>
                </w:tcPr>
                <w:p>
                  <w:pPr>
                    <w:spacing w:line="300" w:lineRule="auto"/>
                    <w:jc w:val="center"/>
                    <w:rPr>
                      <w:rFonts w:ascii="Times New Roman" w:hAnsi="Times New Roman"/>
                    </w:rPr>
                  </w:pPr>
                  <w:r>
                    <w:rPr>
                      <w:rFonts w:ascii="Times New Roman" w:hAnsi="Times New Roman"/>
                    </w:rPr>
                    <w:t>最高环境温度/</w:t>
                  </w:r>
                  <w:r>
                    <w:rPr>
                      <w:rFonts w:hint="eastAsia" w:ascii="宋体" w:hAnsi="宋体" w:cs="宋体"/>
                    </w:rPr>
                    <w:t>℃</w:t>
                  </w:r>
                </w:p>
              </w:tc>
              <w:tc>
                <w:tcPr>
                  <w:tcW w:w="1667" w:type="pct"/>
                  <w:vAlign w:val="center"/>
                </w:tcPr>
                <w:p>
                  <w:pPr>
                    <w:jc w:val="center"/>
                  </w:pPr>
                  <w:r>
                    <w:rPr>
                      <w:rFonts w:hint="eastAsia"/>
                    </w:rPr>
                    <w:t>38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3" w:type="pct"/>
                  <w:gridSpan w:val="2"/>
                  <w:vAlign w:val="center"/>
                </w:tcPr>
                <w:p>
                  <w:pPr>
                    <w:spacing w:line="300" w:lineRule="auto"/>
                    <w:jc w:val="center"/>
                    <w:rPr>
                      <w:rFonts w:ascii="Times New Roman" w:hAnsi="Times New Roman"/>
                    </w:rPr>
                  </w:pPr>
                  <w:r>
                    <w:rPr>
                      <w:rFonts w:ascii="Times New Roman" w:hAnsi="Times New Roman"/>
                    </w:rPr>
                    <w:t>最低环境温度/</w:t>
                  </w:r>
                  <w:r>
                    <w:rPr>
                      <w:rFonts w:hint="eastAsia" w:ascii="宋体" w:hAnsi="宋体" w:cs="宋体"/>
                    </w:rPr>
                    <w:t>℃</w:t>
                  </w:r>
                </w:p>
              </w:tc>
              <w:tc>
                <w:tcPr>
                  <w:tcW w:w="1667" w:type="pct"/>
                  <w:vAlign w:val="center"/>
                </w:tcPr>
                <w:p>
                  <w:pPr>
                    <w:jc w:val="center"/>
                  </w:pPr>
                  <w:r>
                    <w:rPr>
                      <w:rFonts w:hint="eastAsia"/>
                    </w:rPr>
                    <w:t>-40.4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3" w:type="pct"/>
                  <w:gridSpan w:val="2"/>
                  <w:vAlign w:val="center"/>
                </w:tcPr>
                <w:p>
                  <w:pPr>
                    <w:spacing w:line="300" w:lineRule="auto"/>
                    <w:jc w:val="center"/>
                    <w:rPr>
                      <w:rFonts w:ascii="Times New Roman" w:hAnsi="Times New Roman"/>
                    </w:rPr>
                  </w:pPr>
                  <w:r>
                    <w:rPr>
                      <w:rFonts w:ascii="Times New Roman" w:hAnsi="Times New Roman"/>
                    </w:rPr>
                    <w:t>土地利用类型</w:t>
                  </w:r>
                </w:p>
              </w:tc>
              <w:tc>
                <w:tcPr>
                  <w:tcW w:w="1667" w:type="pct"/>
                  <w:vAlign w:val="center"/>
                </w:tcPr>
                <w:p>
                  <w:pPr>
                    <w:spacing w:line="300" w:lineRule="auto"/>
                    <w:jc w:val="center"/>
                    <w:rPr>
                      <w:rFonts w:ascii="Times New Roman" w:hAnsi="Times New Roman"/>
                    </w:rPr>
                  </w:pPr>
                  <w:r>
                    <w:rPr>
                      <w:rFonts w:hint="eastAsia" w:ascii="Times New Roman" w:hAnsi="Times New Roman"/>
                    </w:rPr>
                    <w:t>农作地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33" w:type="pct"/>
                  <w:gridSpan w:val="2"/>
                  <w:vAlign w:val="center"/>
                </w:tcPr>
                <w:p>
                  <w:pPr>
                    <w:spacing w:line="300" w:lineRule="auto"/>
                    <w:jc w:val="center"/>
                    <w:rPr>
                      <w:rFonts w:ascii="Times New Roman" w:hAnsi="Times New Roman"/>
                    </w:rPr>
                  </w:pPr>
                  <w:r>
                    <w:rPr>
                      <w:rFonts w:ascii="Times New Roman" w:hAnsi="Times New Roman"/>
                    </w:rPr>
                    <w:t>区域湿度条件</w:t>
                  </w:r>
                </w:p>
              </w:tc>
              <w:tc>
                <w:tcPr>
                  <w:tcW w:w="1667" w:type="pct"/>
                  <w:vAlign w:val="center"/>
                </w:tcPr>
                <w:p>
                  <w:pPr>
                    <w:spacing w:line="300" w:lineRule="auto"/>
                    <w:jc w:val="center"/>
                    <w:rPr>
                      <w:rFonts w:ascii="Times New Roman" w:hAnsi="Times New Roman"/>
                    </w:rPr>
                  </w:pPr>
                  <w:r>
                    <w:rPr>
                      <w:rFonts w:ascii="Times New Roman" w:hAnsi="Times New Roman"/>
                    </w:rPr>
                    <w:t>中等湿度气候</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vMerge w:val="restart"/>
                  <w:vAlign w:val="center"/>
                </w:tcPr>
                <w:p>
                  <w:pPr>
                    <w:spacing w:line="300" w:lineRule="auto"/>
                    <w:jc w:val="center"/>
                    <w:rPr>
                      <w:rFonts w:ascii="Times New Roman" w:hAnsi="Times New Roman"/>
                    </w:rPr>
                  </w:pPr>
                  <w:r>
                    <w:rPr>
                      <w:rFonts w:ascii="Times New Roman" w:hAnsi="Times New Roman"/>
                    </w:rPr>
                    <w:t>是否考虑地形</w:t>
                  </w:r>
                </w:p>
              </w:tc>
              <w:tc>
                <w:tcPr>
                  <w:tcW w:w="1667" w:type="pct"/>
                  <w:vAlign w:val="center"/>
                </w:tcPr>
                <w:p>
                  <w:pPr>
                    <w:spacing w:line="300" w:lineRule="auto"/>
                    <w:jc w:val="center"/>
                    <w:rPr>
                      <w:rFonts w:ascii="Times New Roman" w:hAnsi="Times New Roman"/>
                    </w:rPr>
                  </w:pPr>
                  <w:r>
                    <w:rPr>
                      <w:rFonts w:ascii="Times New Roman" w:hAnsi="Times New Roman"/>
                    </w:rPr>
                    <w:t>考虑地形</w:t>
                  </w:r>
                </w:p>
              </w:tc>
              <w:tc>
                <w:tcPr>
                  <w:tcW w:w="1667" w:type="pct"/>
                  <w:vAlign w:val="center"/>
                </w:tcPr>
                <w:p>
                  <w:pPr>
                    <w:spacing w:line="300" w:lineRule="auto"/>
                    <w:jc w:val="center"/>
                    <w:rPr>
                      <w:rFonts w:ascii="Times New Roman" w:hAnsi="Times New Roman"/>
                    </w:rPr>
                  </w:pPr>
                  <w:r>
                    <w:rPr>
                      <w:rFonts w:ascii="Times New Roman" w:hAnsi="Times New Roman"/>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vMerge w:val="continue"/>
                  <w:vAlign w:val="center"/>
                </w:tcPr>
                <w:p>
                  <w:pPr>
                    <w:spacing w:line="300" w:lineRule="auto"/>
                    <w:jc w:val="center"/>
                    <w:rPr>
                      <w:rFonts w:ascii="Times New Roman" w:hAnsi="Times New Roman"/>
                    </w:rPr>
                  </w:pPr>
                </w:p>
              </w:tc>
              <w:tc>
                <w:tcPr>
                  <w:tcW w:w="1667" w:type="pct"/>
                  <w:vAlign w:val="center"/>
                </w:tcPr>
                <w:p>
                  <w:pPr>
                    <w:spacing w:line="300" w:lineRule="auto"/>
                    <w:jc w:val="center"/>
                    <w:rPr>
                      <w:rFonts w:ascii="Times New Roman" w:hAnsi="Times New Roman"/>
                    </w:rPr>
                  </w:pPr>
                  <w:r>
                    <w:rPr>
                      <w:rFonts w:ascii="Times New Roman" w:hAnsi="Times New Roman"/>
                    </w:rPr>
                    <w:t>地形数据分辨率/m</w:t>
                  </w:r>
                </w:p>
              </w:tc>
              <w:tc>
                <w:tcPr>
                  <w:tcW w:w="1667" w:type="pct"/>
                  <w:vAlign w:val="center"/>
                </w:tcPr>
                <w:p>
                  <w:pPr>
                    <w:spacing w:line="300" w:lineRule="auto"/>
                    <w:jc w:val="center"/>
                    <w:rPr>
                      <w:rFonts w:ascii="Times New Roman" w:hAnsi="Times New Roman"/>
                    </w:rPr>
                  </w:pPr>
                  <w:r>
                    <w:rPr>
                      <w:rFonts w:ascii="Times New Roman" w:hAnsi="Times New Roma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vMerge w:val="restart"/>
                  <w:vAlign w:val="center"/>
                </w:tcPr>
                <w:p>
                  <w:pPr>
                    <w:spacing w:line="300" w:lineRule="auto"/>
                    <w:jc w:val="center"/>
                    <w:rPr>
                      <w:rFonts w:ascii="Times New Roman" w:hAnsi="Times New Roman"/>
                    </w:rPr>
                  </w:pPr>
                  <w:r>
                    <w:rPr>
                      <w:rFonts w:ascii="Times New Roman" w:hAnsi="Times New Roman"/>
                    </w:rPr>
                    <w:t>是否考虑岸线熏烟</w:t>
                  </w:r>
                </w:p>
              </w:tc>
              <w:tc>
                <w:tcPr>
                  <w:tcW w:w="1667" w:type="pct"/>
                  <w:vAlign w:val="center"/>
                </w:tcPr>
                <w:p>
                  <w:pPr>
                    <w:spacing w:line="300" w:lineRule="auto"/>
                    <w:jc w:val="center"/>
                    <w:rPr>
                      <w:rFonts w:ascii="Times New Roman" w:hAnsi="Times New Roman"/>
                    </w:rPr>
                  </w:pPr>
                  <w:r>
                    <w:rPr>
                      <w:rFonts w:ascii="Times New Roman" w:hAnsi="Times New Roman"/>
                    </w:rPr>
                    <w:t>考虑岸线熏烟</w:t>
                  </w:r>
                </w:p>
              </w:tc>
              <w:tc>
                <w:tcPr>
                  <w:tcW w:w="1667" w:type="pct"/>
                  <w:vAlign w:val="center"/>
                </w:tcPr>
                <w:p>
                  <w:pPr>
                    <w:spacing w:line="300" w:lineRule="auto"/>
                    <w:jc w:val="center"/>
                    <w:rPr>
                      <w:rFonts w:ascii="Times New Roman" w:hAnsi="Times New Roman"/>
                    </w:rPr>
                  </w:pPr>
                  <w:r>
                    <w:rPr>
                      <w:rFonts w:ascii="Times New Roman" w:hAnsi="Times New Roman"/>
                    </w:rPr>
                    <w:t>否</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vMerge w:val="continue"/>
                  <w:vAlign w:val="center"/>
                </w:tcPr>
                <w:p>
                  <w:pPr>
                    <w:spacing w:line="300" w:lineRule="auto"/>
                    <w:jc w:val="center"/>
                    <w:rPr>
                      <w:rFonts w:ascii="Times New Roman" w:hAnsi="Times New Roman"/>
                    </w:rPr>
                  </w:pPr>
                </w:p>
              </w:tc>
              <w:tc>
                <w:tcPr>
                  <w:tcW w:w="1667" w:type="pct"/>
                  <w:vAlign w:val="center"/>
                </w:tcPr>
                <w:p>
                  <w:pPr>
                    <w:spacing w:line="300" w:lineRule="auto"/>
                    <w:jc w:val="center"/>
                    <w:rPr>
                      <w:rFonts w:ascii="Times New Roman" w:hAnsi="Times New Roman"/>
                    </w:rPr>
                  </w:pPr>
                  <w:r>
                    <w:rPr>
                      <w:rFonts w:ascii="Times New Roman" w:hAnsi="Times New Roman"/>
                    </w:rPr>
                    <w:t>岸线距离/km</w:t>
                  </w:r>
                </w:p>
              </w:tc>
              <w:tc>
                <w:tcPr>
                  <w:tcW w:w="1667" w:type="pct"/>
                  <w:vAlign w:val="center"/>
                </w:tcPr>
                <w:p>
                  <w:pPr>
                    <w:spacing w:line="300" w:lineRule="auto"/>
                    <w:jc w:val="center"/>
                    <w:rPr>
                      <w:rFonts w:ascii="Times New Roman" w:hAnsi="Times New Roman"/>
                    </w:rPr>
                  </w:pPr>
                  <w:r>
                    <w:rPr>
                      <w:rFonts w:ascii="Times New Roman" w:hAnsi="Times New Roma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vMerge w:val="continue"/>
                  <w:vAlign w:val="center"/>
                </w:tcPr>
                <w:p>
                  <w:pPr>
                    <w:spacing w:line="300" w:lineRule="auto"/>
                    <w:jc w:val="center"/>
                    <w:rPr>
                      <w:rFonts w:ascii="Times New Roman" w:hAnsi="Times New Roman"/>
                    </w:rPr>
                  </w:pPr>
                </w:p>
              </w:tc>
              <w:tc>
                <w:tcPr>
                  <w:tcW w:w="1667" w:type="pct"/>
                  <w:vAlign w:val="center"/>
                </w:tcPr>
                <w:p>
                  <w:pPr>
                    <w:spacing w:line="300" w:lineRule="auto"/>
                    <w:jc w:val="center"/>
                    <w:rPr>
                      <w:rFonts w:ascii="Times New Roman" w:hAnsi="Times New Roman"/>
                    </w:rPr>
                  </w:pPr>
                  <w:r>
                    <w:rPr>
                      <w:rFonts w:ascii="Times New Roman" w:hAnsi="Times New Roman"/>
                    </w:rPr>
                    <w:t>岸线方向/°</w:t>
                  </w:r>
                </w:p>
              </w:tc>
              <w:tc>
                <w:tcPr>
                  <w:tcW w:w="1667" w:type="pct"/>
                  <w:vAlign w:val="center"/>
                </w:tcPr>
                <w:p>
                  <w:pPr>
                    <w:spacing w:line="300" w:lineRule="auto"/>
                    <w:jc w:val="center"/>
                    <w:rPr>
                      <w:rFonts w:ascii="Times New Roman" w:hAnsi="Times New Roman"/>
                    </w:rPr>
                  </w:pPr>
                  <w:r>
                    <w:rPr>
                      <w:rFonts w:ascii="Times New Roman" w:hAnsi="Times New Roman"/>
                    </w:rPr>
                    <w:t>/</w:t>
                  </w:r>
                </w:p>
              </w:tc>
            </w:tr>
          </w:tbl>
          <w:p>
            <w:pPr>
              <w:spacing w:line="360" w:lineRule="auto"/>
              <w:ind w:firstLine="560" w:firstLineChars="200"/>
              <w:rPr>
                <w:rFonts w:ascii="Times New Roman" w:hAnsi="Times New Roman"/>
                <w:sz w:val="28"/>
                <w:szCs w:val="28"/>
              </w:rPr>
            </w:pPr>
            <w:r>
              <w:rPr>
                <w:rFonts w:ascii="Times New Roman" w:hAnsi="Times New Roman"/>
                <w:sz w:val="28"/>
                <w:szCs w:val="28"/>
              </w:rPr>
              <w:t>利用AERSCREEN估算模式，计算结果见下表。</w:t>
            </w:r>
          </w:p>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35</w:t>
            </w:r>
            <w:r>
              <w:rPr>
                <w:rFonts w:ascii="Times New Roman" w:hAnsi="Times New Roman"/>
                <w:b/>
                <w:sz w:val="24"/>
              </w:rPr>
              <w:t xml:space="preserve">   主要污染源估算模型计算结果表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1877"/>
              <w:gridCol w:w="1075"/>
              <w:gridCol w:w="1609"/>
              <w:gridCol w:w="1877"/>
              <w:gridCol w:w="107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Merge w:val="restart"/>
                  <w:vAlign w:val="center"/>
                </w:tcPr>
                <w:p>
                  <w:pPr>
                    <w:jc w:val="center"/>
                    <w:rPr>
                      <w:rFonts w:ascii="Times New Roman" w:hAnsi="Times New Roman"/>
                    </w:rPr>
                  </w:pPr>
                  <w:r>
                    <w:rPr>
                      <w:rFonts w:ascii="Times New Roman" w:hAnsi="Times New Roman"/>
                    </w:rPr>
                    <w:t>下风向距离</w:t>
                  </w:r>
                </w:p>
                <w:p>
                  <w:pPr>
                    <w:jc w:val="center"/>
                    <w:rPr>
                      <w:rFonts w:ascii="Times New Roman" w:hAnsi="Times New Roman"/>
                    </w:rPr>
                  </w:pPr>
                  <w:r>
                    <w:rPr>
                      <w:rFonts w:ascii="Times New Roman" w:hAnsi="Times New Roman"/>
                    </w:rPr>
                    <w:t>/m</w:t>
                  </w:r>
                </w:p>
              </w:tc>
              <w:tc>
                <w:tcPr>
                  <w:tcW w:w="1618" w:type="pct"/>
                  <w:gridSpan w:val="2"/>
                  <w:vAlign w:val="center"/>
                </w:tcPr>
                <w:p>
                  <w:pPr>
                    <w:jc w:val="center"/>
                    <w:rPr>
                      <w:rFonts w:ascii="Times New Roman" w:hAnsi="Times New Roman"/>
                    </w:rPr>
                  </w:pPr>
                  <w:r>
                    <w:rPr>
                      <w:rFonts w:ascii="Times New Roman" w:hAnsi="Times New Roman"/>
                    </w:rPr>
                    <w:t>非甲烷总烃（正常工况）</w:t>
                  </w:r>
                </w:p>
              </w:tc>
              <w:tc>
                <w:tcPr>
                  <w:tcW w:w="882" w:type="pct"/>
                  <w:vMerge w:val="restart"/>
                  <w:vAlign w:val="center"/>
                </w:tcPr>
                <w:p>
                  <w:pPr>
                    <w:jc w:val="center"/>
                    <w:rPr>
                      <w:rFonts w:ascii="Times New Roman" w:hAnsi="Times New Roman"/>
                    </w:rPr>
                  </w:pPr>
                  <w:r>
                    <w:rPr>
                      <w:rFonts w:ascii="Times New Roman" w:hAnsi="Times New Roman"/>
                    </w:rPr>
                    <w:t>下风向距离</w:t>
                  </w:r>
                </w:p>
                <w:p>
                  <w:pPr>
                    <w:jc w:val="center"/>
                    <w:rPr>
                      <w:rFonts w:ascii="Times New Roman" w:hAnsi="Times New Roman"/>
                    </w:rPr>
                  </w:pPr>
                  <w:r>
                    <w:rPr>
                      <w:rFonts w:ascii="Times New Roman" w:hAnsi="Times New Roman"/>
                    </w:rPr>
                    <w:t>/m</w:t>
                  </w:r>
                </w:p>
              </w:tc>
              <w:tc>
                <w:tcPr>
                  <w:tcW w:w="1618" w:type="pct"/>
                  <w:gridSpan w:val="2"/>
                  <w:vAlign w:val="center"/>
                </w:tcPr>
                <w:p>
                  <w:pPr>
                    <w:jc w:val="center"/>
                    <w:rPr>
                      <w:rFonts w:ascii="Times New Roman" w:hAnsi="Times New Roman"/>
                    </w:rPr>
                  </w:pPr>
                  <w:r>
                    <w:rPr>
                      <w:rFonts w:ascii="Times New Roman" w:hAnsi="Times New Roman"/>
                    </w:rPr>
                    <w:t>非甲烷总烃（非正常工况）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Merge w:val="continue"/>
                  <w:vAlign w:val="center"/>
                </w:tcPr>
                <w:p>
                  <w:pPr>
                    <w:jc w:val="center"/>
                    <w:rPr>
                      <w:rFonts w:ascii="Times New Roman" w:hAnsi="Times New Roman"/>
                    </w:rPr>
                  </w:pPr>
                </w:p>
              </w:tc>
              <w:tc>
                <w:tcPr>
                  <w:tcW w:w="1029" w:type="pct"/>
                  <w:vAlign w:val="center"/>
                </w:tcPr>
                <w:p>
                  <w:pPr>
                    <w:jc w:val="center"/>
                    <w:rPr>
                      <w:rFonts w:ascii="Times New Roman" w:hAnsi="Times New Roman"/>
                    </w:rPr>
                  </w:pPr>
                  <w:r>
                    <w:rPr>
                      <w:rFonts w:ascii="Times New Roman" w:hAnsi="Times New Roman"/>
                    </w:rPr>
                    <w:t>预测质量浓度</w:t>
                  </w:r>
                </w:p>
                <w:p>
                  <w:pPr>
                    <w:jc w:val="center"/>
                    <w:rPr>
                      <w:rFonts w:ascii="Times New Roman" w:hAnsi="Times New Roman"/>
                    </w:rPr>
                  </w:pPr>
                  <w:r>
                    <w:rPr>
                      <w:rFonts w:ascii="Times New Roman" w:hAnsi="Times New Roman"/>
                    </w:rPr>
                    <w:t>/（μg/m</w:t>
                  </w:r>
                  <w:r>
                    <w:rPr>
                      <w:rFonts w:ascii="Times New Roman" w:hAnsi="Times New Roman"/>
                      <w:vertAlign w:val="superscript"/>
                    </w:rPr>
                    <w:t>3</w:t>
                  </w:r>
                  <w:r>
                    <w:rPr>
                      <w:rFonts w:ascii="Times New Roman" w:hAnsi="Times New Roman"/>
                    </w:rPr>
                    <w:t>）</w:t>
                  </w:r>
                </w:p>
              </w:tc>
              <w:tc>
                <w:tcPr>
                  <w:tcW w:w="589" w:type="pct"/>
                  <w:vAlign w:val="center"/>
                </w:tcPr>
                <w:p>
                  <w:pPr>
                    <w:jc w:val="center"/>
                    <w:rPr>
                      <w:rFonts w:ascii="Times New Roman" w:hAnsi="Times New Roman"/>
                    </w:rPr>
                  </w:pPr>
                  <w:r>
                    <w:rPr>
                      <w:rFonts w:ascii="Times New Roman" w:hAnsi="Times New Roman"/>
                    </w:rPr>
                    <w:t>占标率</w:t>
                  </w:r>
                </w:p>
                <w:p>
                  <w:pPr>
                    <w:jc w:val="center"/>
                    <w:rPr>
                      <w:rFonts w:ascii="Times New Roman" w:hAnsi="Times New Roman"/>
                    </w:rPr>
                  </w:pPr>
                  <w:r>
                    <w:rPr>
                      <w:rFonts w:ascii="Times New Roman" w:hAnsi="Times New Roman"/>
                    </w:rPr>
                    <w:t>/%</w:t>
                  </w:r>
                </w:p>
              </w:tc>
              <w:tc>
                <w:tcPr>
                  <w:tcW w:w="882" w:type="pct"/>
                  <w:vMerge w:val="continue"/>
                  <w:vAlign w:val="center"/>
                </w:tcPr>
                <w:p>
                  <w:pPr>
                    <w:jc w:val="center"/>
                    <w:rPr>
                      <w:rFonts w:ascii="Times New Roman" w:hAnsi="Times New Roman"/>
                    </w:rPr>
                  </w:pPr>
                </w:p>
              </w:tc>
              <w:tc>
                <w:tcPr>
                  <w:tcW w:w="1029" w:type="pct"/>
                  <w:vAlign w:val="center"/>
                </w:tcPr>
                <w:p>
                  <w:pPr>
                    <w:jc w:val="center"/>
                    <w:rPr>
                      <w:rFonts w:ascii="Times New Roman" w:hAnsi="Times New Roman"/>
                    </w:rPr>
                  </w:pPr>
                  <w:r>
                    <w:rPr>
                      <w:rFonts w:ascii="Times New Roman" w:hAnsi="Times New Roman"/>
                    </w:rPr>
                    <w:t>预测质量浓度</w:t>
                  </w:r>
                </w:p>
                <w:p>
                  <w:pPr>
                    <w:jc w:val="center"/>
                    <w:rPr>
                      <w:rFonts w:ascii="Times New Roman" w:hAnsi="Times New Roman"/>
                    </w:rPr>
                  </w:pPr>
                  <w:r>
                    <w:rPr>
                      <w:rFonts w:ascii="Times New Roman" w:hAnsi="Times New Roman"/>
                    </w:rPr>
                    <w:t>/（μg/m</w:t>
                  </w:r>
                  <w:r>
                    <w:rPr>
                      <w:rFonts w:ascii="Times New Roman" w:hAnsi="Times New Roman"/>
                      <w:vertAlign w:val="superscript"/>
                    </w:rPr>
                    <w:t>3</w:t>
                  </w:r>
                  <w:r>
                    <w:rPr>
                      <w:rFonts w:ascii="Times New Roman" w:hAnsi="Times New Roman"/>
                    </w:rPr>
                    <w:t>）</w:t>
                  </w:r>
                </w:p>
              </w:tc>
              <w:tc>
                <w:tcPr>
                  <w:tcW w:w="589" w:type="pct"/>
                  <w:vAlign w:val="center"/>
                </w:tcPr>
                <w:p>
                  <w:pPr>
                    <w:jc w:val="center"/>
                    <w:rPr>
                      <w:rFonts w:ascii="Times New Roman" w:hAnsi="Times New Roman"/>
                    </w:rPr>
                  </w:pPr>
                  <w:r>
                    <w:rPr>
                      <w:rFonts w:ascii="Times New Roman" w:hAnsi="Times New Roman"/>
                    </w:rPr>
                    <w:t>占标率</w:t>
                  </w:r>
                </w:p>
                <w:p>
                  <w:pPr>
                    <w:jc w:val="center"/>
                    <w:rPr>
                      <w:rFonts w:ascii="Times New Roman" w:hAnsi="Times New Roman"/>
                    </w:rPr>
                  </w:pPr>
                  <w:r>
                    <w:rPr>
                      <w:rFonts w:ascii="Times New Roman" w:hAnsi="Times New Roman"/>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10</w:t>
                  </w:r>
                </w:p>
              </w:tc>
              <w:tc>
                <w:tcPr>
                  <w:tcW w:w="1029" w:type="pct"/>
                  <w:vAlign w:val="center"/>
                </w:tcPr>
                <w:p>
                  <w:pPr>
                    <w:jc w:val="center"/>
                    <w:rPr>
                      <w:rFonts w:ascii="Times New Roman" w:hAnsi="Times New Roman"/>
                    </w:rPr>
                  </w:pPr>
                  <w:r>
                    <w:rPr>
                      <w:rFonts w:hint="eastAsia" w:ascii="Times New Roman" w:hAnsi="Times New Roman"/>
                    </w:rPr>
                    <w:t>8.76E-02</w:t>
                  </w:r>
                </w:p>
              </w:tc>
              <w:tc>
                <w:tcPr>
                  <w:tcW w:w="589" w:type="pct"/>
                  <w:vAlign w:val="center"/>
                </w:tcPr>
                <w:p>
                  <w:pPr>
                    <w:jc w:val="center"/>
                    <w:rPr>
                      <w:rFonts w:ascii="Times New Roman" w:hAnsi="Times New Roman"/>
                    </w:rPr>
                  </w:pPr>
                  <w:r>
                    <w:rPr>
                      <w:rFonts w:hint="eastAsia" w:ascii="Times New Roman" w:hAnsi="Times New Roman"/>
                    </w:rPr>
                    <w:t>4.38</w:t>
                  </w:r>
                </w:p>
              </w:tc>
              <w:tc>
                <w:tcPr>
                  <w:tcW w:w="882" w:type="pct"/>
                  <w:vAlign w:val="center"/>
                </w:tcPr>
                <w:p>
                  <w:pPr>
                    <w:jc w:val="center"/>
                    <w:rPr>
                      <w:rFonts w:ascii="Times New Roman" w:hAnsi="Times New Roman"/>
                    </w:rPr>
                  </w:pPr>
                  <w:r>
                    <w:rPr>
                      <w:rFonts w:hint="eastAsia" w:ascii="Times New Roman" w:hAnsi="Times New Roman"/>
                    </w:rPr>
                    <w:t>10</w:t>
                  </w:r>
                </w:p>
              </w:tc>
              <w:tc>
                <w:tcPr>
                  <w:tcW w:w="1029" w:type="pct"/>
                  <w:vAlign w:val="center"/>
                </w:tcPr>
                <w:p>
                  <w:pPr>
                    <w:jc w:val="center"/>
                    <w:rPr>
                      <w:rFonts w:ascii="Times New Roman" w:hAnsi="Times New Roman"/>
                    </w:rPr>
                  </w:pPr>
                  <w:r>
                    <w:rPr>
                      <w:rFonts w:hint="eastAsia" w:ascii="Times New Roman" w:hAnsi="Times New Roman"/>
                    </w:rPr>
                    <w:t>7.61E-01</w:t>
                  </w:r>
                </w:p>
              </w:tc>
              <w:tc>
                <w:tcPr>
                  <w:tcW w:w="589" w:type="pct"/>
                  <w:vAlign w:val="center"/>
                </w:tcPr>
                <w:p>
                  <w:pPr>
                    <w:jc w:val="center"/>
                    <w:rPr>
                      <w:rFonts w:ascii="Times New Roman" w:hAnsi="Times New Roman"/>
                    </w:rPr>
                  </w:pPr>
                  <w:r>
                    <w:rPr>
                      <w:rFonts w:hint="eastAsia" w:ascii="Times New Roman" w:hAnsi="Times New Roman"/>
                    </w:rPr>
                    <w:t>38.03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24</w:t>
                  </w:r>
                </w:p>
              </w:tc>
              <w:tc>
                <w:tcPr>
                  <w:tcW w:w="1029" w:type="pct"/>
                  <w:vAlign w:val="center"/>
                </w:tcPr>
                <w:p>
                  <w:pPr>
                    <w:jc w:val="center"/>
                    <w:rPr>
                      <w:rFonts w:ascii="Times New Roman" w:hAnsi="Times New Roman"/>
                    </w:rPr>
                  </w:pPr>
                  <w:r>
                    <w:rPr>
                      <w:rFonts w:hint="eastAsia" w:ascii="Times New Roman" w:hAnsi="Times New Roman"/>
                    </w:rPr>
                    <w:t>1.04E-01</w:t>
                  </w:r>
                </w:p>
              </w:tc>
              <w:tc>
                <w:tcPr>
                  <w:tcW w:w="589" w:type="pct"/>
                  <w:vAlign w:val="center"/>
                </w:tcPr>
                <w:p>
                  <w:pPr>
                    <w:jc w:val="center"/>
                    <w:rPr>
                      <w:rFonts w:ascii="Times New Roman" w:hAnsi="Times New Roman"/>
                    </w:rPr>
                  </w:pPr>
                  <w:r>
                    <w:rPr>
                      <w:rFonts w:hint="eastAsia" w:ascii="Times New Roman" w:hAnsi="Times New Roman"/>
                    </w:rPr>
                    <w:t>5.19</w:t>
                  </w:r>
                </w:p>
              </w:tc>
              <w:tc>
                <w:tcPr>
                  <w:tcW w:w="882" w:type="pct"/>
                  <w:vAlign w:val="center"/>
                </w:tcPr>
                <w:p>
                  <w:pPr>
                    <w:jc w:val="center"/>
                    <w:rPr>
                      <w:rFonts w:ascii="Times New Roman" w:hAnsi="Times New Roman"/>
                    </w:rPr>
                  </w:pPr>
                  <w:r>
                    <w:rPr>
                      <w:rFonts w:hint="eastAsia" w:ascii="Times New Roman" w:hAnsi="Times New Roman"/>
                    </w:rPr>
                    <w:t>24</w:t>
                  </w:r>
                </w:p>
              </w:tc>
              <w:tc>
                <w:tcPr>
                  <w:tcW w:w="1029" w:type="pct"/>
                  <w:vAlign w:val="center"/>
                </w:tcPr>
                <w:p>
                  <w:pPr>
                    <w:jc w:val="center"/>
                    <w:rPr>
                      <w:rFonts w:ascii="Times New Roman" w:hAnsi="Times New Roman"/>
                    </w:rPr>
                  </w:pPr>
                  <w:r>
                    <w:rPr>
                      <w:rFonts w:hint="eastAsia" w:ascii="Times New Roman" w:hAnsi="Times New Roman"/>
                    </w:rPr>
                    <w:t>9.00E-01</w:t>
                  </w:r>
                </w:p>
              </w:tc>
              <w:tc>
                <w:tcPr>
                  <w:tcW w:w="589" w:type="pct"/>
                  <w:vAlign w:val="center"/>
                </w:tcPr>
                <w:p>
                  <w:pPr>
                    <w:jc w:val="center"/>
                    <w:rPr>
                      <w:rFonts w:ascii="Times New Roman" w:hAnsi="Times New Roman"/>
                    </w:rPr>
                  </w:pPr>
                  <w:r>
                    <w:rPr>
                      <w:rFonts w:hint="eastAsia" w:ascii="Times New Roman" w:hAnsi="Times New Roman"/>
                    </w:rPr>
                    <w:t>45.02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25</w:t>
                  </w:r>
                </w:p>
              </w:tc>
              <w:tc>
                <w:tcPr>
                  <w:tcW w:w="1029" w:type="pct"/>
                  <w:vAlign w:val="center"/>
                </w:tcPr>
                <w:p>
                  <w:pPr>
                    <w:jc w:val="center"/>
                    <w:rPr>
                      <w:rFonts w:ascii="Times New Roman" w:hAnsi="Times New Roman"/>
                    </w:rPr>
                  </w:pPr>
                  <w:r>
                    <w:rPr>
                      <w:rFonts w:hint="eastAsia" w:ascii="Times New Roman" w:hAnsi="Times New Roman"/>
                    </w:rPr>
                    <w:t>1.03E-01</w:t>
                  </w:r>
                </w:p>
              </w:tc>
              <w:tc>
                <w:tcPr>
                  <w:tcW w:w="589" w:type="pct"/>
                  <w:vAlign w:val="center"/>
                </w:tcPr>
                <w:p>
                  <w:pPr>
                    <w:jc w:val="center"/>
                    <w:rPr>
                      <w:rFonts w:ascii="Times New Roman" w:hAnsi="Times New Roman"/>
                    </w:rPr>
                  </w:pPr>
                  <w:r>
                    <w:rPr>
                      <w:rFonts w:hint="eastAsia" w:ascii="Times New Roman" w:hAnsi="Times New Roman"/>
                    </w:rPr>
                    <w:t>5.16</w:t>
                  </w:r>
                </w:p>
              </w:tc>
              <w:tc>
                <w:tcPr>
                  <w:tcW w:w="882" w:type="pct"/>
                  <w:vAlign w:val="center"/>
                </w:tcPr>
                <w:p>
                  <w:pPr>
                    <w:jc w:val="center"/>
                    <w:rPr>
                      <w:rFonts w:ascii="Times New Roman" w:hAnsi="Times New Roman"/>
                    </w:rPr>
                  </w:pPr>
                  <w:r>
                    <w:rPr>
                      <w:rFonts w:hint="eastAsia" w:ascii="Times New Roman" w:hAnsi="Times New Roman"/>
                    </w:rPr>
                    <w:t>25</w:t>
                  </w:r>
                </w:p>
              </w:tc>
              <w:tc>
                <w:tcPr>
                  <w:tcW w:w="1029" w:type="pct"/>
                  <w:vAlign w:val="center"/>
                </w:tcPr>
                <w:p>
                  <w:pPr>
                    <w:jc w:val="center"/>
                    <w:rPr>
                      <w:rFonts w:ascii="Times New Roman" w:hAnsi="Times New Roman"/>
                    </w:rPr>
                  </w:pPr>
                  <w:r>
                    <w:rPr>
                      <w:rFonts w:hint="eastAsia" w:ascii="Times New Roman" w:hAnsi="Times New Roman"/>
                    </w:rPr>
                    <w:t>8.95E-01</w:t>
                  </w:r>
                </w:p>
              </w:tc>
              <w:tc>
                <w:tcPr>
                  <w:tcW w:w="589" w:type="pct"/>
                  <w:vAlign w:val="center"/>
                </w:tcPr>
                <w:p>
                  <w:pPr>
                    <w:jc w:val="center"/>
                    <w:rPr>
                      <w:rFonts w:ascii="Times New Roman" w:hAnsi="Times New Roman"/>
                    </w:rPr>
                  </w:pPr>
                  <w:r>
                    <w:rPr>
                      <w:rFonts w:hint="eastAsia" w:ascii="Times New Roman" w:hAnsi="Times New Roman"/>
                    </w:rPr>
                    <w:t>44.77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50</w:t>
                  </w:r>
                </w:p>
              </w:tc>
              <w:tc>
                <w:tcPr>
                  <w:tcW w:w="1029" w:type="pct"/>
                  <w:vAlign w:val="center"/>
                </w:tcPr>
                <w:p>
                  <w:pPr>
                    <w:jc w:val="center"/>
                    <w:rPr>
                      <w:rFonts w:ascii="Times New Roman" w:hAnsi="Times New Roman"/>
                    </w:rPr>
                  </w:pPr>
                  <w:r>
                    <w:rPr>
                      <w:rFonts w:hint="eastAsia" w:ascii="Times New Roman" w:hAnsi="Times New Roman"/>
                    </w:rPr>
                    <w:t>9.90E-02</w:t>
                  </w:r>
                </w:p>
              </w:tc>
              <w:tc>
                <w:tcPr>
                  <w:tcW w:w="589" w:type="pct"/>
                  <w:vAlign w:val="center"/>
                </w:tcPr>
                <w:p>
                  <w:pPr>
                    <w:jc w:val="center"/>
                    <w:rPr>
                      <w:rFonts w:ascii="Times New Roman" w:hAnsi="Times New Roman"/>
                    </w:rPr>
                  </w:pPr>
                  <w:r>
                    <w:rPr>
                      <w:rFonts w:hint="eastAsia" w:ascii="Times New Roman" w:hAnsi="Times New Roman"/>
                    </w:rPr>
                    <w:t>4.95</w:t>
                  </w:r>
                </w:p>
              </w:tc>
              <w:tc>
                <w:tcPr>
                  <w:tcW w:w="882" w:type="pct"/>
                  <w:vAlign w:val="center"/>
                </w:tcPr>
                <w:p>
                  <w:pPr>
                    <w:jc w:val="center"/>
                    <w:rPr>
                      <w:rFonts w:ascii="Times New Roman" w:hAnsi="Times New Roman"/>
                    </w:rPr>
                  </w:pPr>
                  <w:r>
                    <w:rPr>
                      <w:rFonts w:hint="eastAsia" w:ascii="Times New Roman" w:hAnsi="Times New Roman"/>
                    </w:rPr>
                    <w:t>50</w:t>
                  </w:r>
                </w:p>
              </w:tc>
              <w:tc>
                <w:tcPr>
                  <w:tcW w:w="1029" w:type="pct"/>
                  <w:vAlign w:val="center"/>
                </w:tcPr>
                <w:p>
                  <w:pPr>
                    <w:jc w:val="center"/>
                    <w:rPr>
                      <w:rFonts w:ascii="Times New Roman" w:hAnsi="Times New Roman"/>
                    </w:rPr>
                  </w:pPr>
                  <w:r>
                    <w:rPr>
                      <w:rFonts w:hint="eastAsia" w:ascii="Times New Roman" w:hAnsi="Times New Roman"/>
                    </w:rPr>
                    <w:t>8.59E-01</w:t>
                  </w:r>
                </w:p>
              </w:tc>
              <w:tc>
                <w:tcPr>
                  <w:tcW w:w="589" w:type="pct"/>
                  <w:vAlign w:val="center"/>
                </w:tcPr>
                <w:p>
                  <w:pPr>
                    <w:jc w:val="center"/>
                    <w:rPr>
                      <w:rFonts w:ascii="Times New Roman" w:hAnsi="Times New Roman"/>
                    </w:rPr>
                  </w:pPr>
                  <w:r>
                    <w:rPr>
                      <w:rFonts w:hint="eastAsia" w:ascii="Times New Roman" w:hAnsi="Times New Roman"/>
                    </w:rPr>
                    <w:t>42.96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75</w:t>
                  </w:r>
                </w:p>
              </w:tc>
              <w:tc>
                <w:tcPr>
                  <w:tcW w:w="1029" w:type="pct"/>
                  <w:vAlign w:val="center"/>
                </w:tcPr>
                <w:p>
                  <w:pPr>
                    <w:jc w:val="center"/>
                    <w:rPr>
                      <w:rFonts w:ascii="Times New Roman" w:hAnsi="Times New Roman"/>
                    </w:rPr>
                  </w:pPr>
                  <w:r>
                    <w:rPr>
                      <w:rFonts w:hint="eastAsia" w:ascii="Times New Roman" w:hAnsi="Times New Roman"/>
                    </w:rPr>
                    <w:t>9.16E-02</w:t>
                  </w:r>
                </w:p>
              </w:tc>
              <w:tc>
                <w:tcPr>
                  <w:tcW w:w="589" w:type="pct"/>
                  <w:vAlign w:val="center"/>
                </w:tcPr>
                <w:p>
                  <w:pPr>
                    <w:jc w:val="center"/>
                    <w:rPr>
                      <w:rFonts w:ascii="Times New Roman" w:hAnsi="Times New Roman"/>
                    </w:rPr>
                  </w:pPr>
                  <w:r>
                    <w:rPr>
                      <w:rFonts w:hint="eastAsia" w:ascii="Times New Roman" w:hAnsi="Times New Roman"/>
                    </w:rPr>
                    <w:t>4.58</w:t>
                  </w:r>
                </w:p>
              </w:tc>
              <w:tc>
                <w:tcPr>
                  <w:tcW w:w="882" w:type="pct"/>
                  <w:vAlign w:val="center"/>
                </w:tcPr>
                <w:p>
                  <w:pPr>
                    <w:jc w:val="center"/>
                    <w:rPr>
                      <w:rFonts w:ascii="Times New Roman" w:hAnsi="Times New Roman"/>
                    </w:rPr>
                  </w:pPr>
                  <w:r>
                    <w:rPr>
                      <w:rFonts w:hint="eastAsia" w:ascii="Times New Roman" w:hAnsi="Times New Roman"/>
                    </w:rPr>
                    <w:t>75</w:t>
                  </w:r>
                </w:p>
              </w:tc>
              <w:tc>
                <w:tcPr>
                  <w:tcW w:w="1029" w:type="pct"/>
                  <w:vAlign w:val="center"/>
                </w:tcPr>
                <w:p>
                  <w:pPr>
                    <w:jc w:val="center"/>
                    <w:rPr>
                      <w:rFonts w:ascii="Times New Roman" w:hAnsi="Times New Roman"/>
                    </w:rPr>
                  </w:pPr>
                  <w:r>
                    <w:rPr>
                      <w:rFonts w:hint="eastAsia" w:ascii="Times New Roman" w:hAnsi="Times New Roman"/>
                    </w:rPr>
                    <w:t>7.95E-01</w:t>
                  </w:r>
                </w:p>
              </w:tc>
              <w:tc>
                <w:tcPr>
                  <w:tcW w:w="589" w:type="pct"/>
                  <w:vAlign w:val="center"/>
                </w:tcPr>
                <w:p>
                  <w:pPr>
                    <w:jc w:val="center"/>
                    <w:rPr>
                      <w:rFonts w:ascii="Times New Roman" w:hAnsi="Times New Roman"/>
                    </w:rPr>
                  </w:pPr>
                  <w:r>
                    <w:rPr>
                      <w:rFonts w:hint="eastAsia" w:ascii="Times New Roman" w:hAnsi="Times New Roman"/>
                    </w:rPr>
                    <w:t>39.76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100</w:t>
                  </w:r>
                </w:p>
              </w:tc>
              <w:tc>
                <w:tcPr>
                  <w:tcW w:w="1029" w:type="pct"/>
                  <w:vAlign w:val="center"/>
                </w:tcPr>
                <w:p>
                  <w:pPr>
                    <w:jc w:val="center"/>
                    <w:rPr>
                      <w:rFonts w:ascii="Times New Roman" w:hAnsi="Times New Roman"/>
                    </w:rPr>
                  </w:pPr>
                  <w:r>
                    <w:rPr>
                      <w:rFonts w:hint="eastAsia" w:ascii="Times New Roman" w:hAnsi="Times New Roman"/>
                    </w:rPr>
                    <w:t>8.04E-02</w:t>
                  </w:r>
                </w:p>
              </w:tc>
              <w:tc>
                <w:tcPr>
                  <w:tcW w:w="589" w:type="pct"/>
                  <w:vAlign w:val="center"/>
                </w:tcPr>
                <w:p>
                  <w:pPr>
                    <w:jc w:val="center"/>
                    <w:rPr>
                      <w:rFonts w:ascii="Times New Roman" w:hAnsi="Times New Roman"/>
                    </w:rPr>
                  </w:pPr>
                  <w:r>
                    <w:rPr>
                      <w:rFonts w:hint="eastAsia" w:ascii="Times New Roman" w:hAnsi="Times New Roman"/>
                    </w:rPr>
                    <w:t>4.02</w:t>
                  </w:r>
                </w:p>
              </w:tc>
              <w:tc>
                <w:tcPr>
                  <w:tcW w:w="882" w:type="pct"/>
                  <w:vAlign w:val="center"/>
                </w:tcPr>
                <w:p>
                  <w:pPr>
                    <w:jc w:val="center"/>
                    <w:rPr>
                      <w:rFonts w:ascii="Times New Roman" w:hAnsi="Times New Roman"/>
                    </w:rPr>
                  </w:pPr>
                  <w:r>
                    <w:rPr>
                      <w:rFonts w:hint="eastAsia" w:ascii="Times New Roman" w:hAnsi="Times New Roman"/>
                    </w:rPr>
                    <w:t>100</w:t>
                  </w:r>
                </w:p>
              </w:tc>
              <w:tc>
                <w:tcPr>
                  <w:tcW w:w="1029" w:type="pct"/>
                  <w:vAlign w:val="center"/>
                </w:tcPr>
                <w:p>
                  <w:pPr>
                    <w:jc w:val="center"/>
                    <w:rPr>
                      <w:rFonts w:ascii="Times New Roman" w:hAnsi="Times New Roman"/>
                    </w:rPr>
                  </w:pPr>
                  <w:r>
                    <w:rPr>
                      <w:rFonts w:hint="eastAsia" w:ascii="Times New Roman" w:hAnsi="Times New Roman"/>
                    </w:rPr>
                    <w:t>6.98E-01</w:t>
                  </w:r>
                </w:p>
              </w:tc>
              <w:tc>
                <w:tcPr>
                  <w:tcW w:w="589" w:type="pct"/>
                  <w:vAlign w:val="center"/>
                </w:tcPr>
                <w:p>
                  <w:pPr>
                    <w:jc w:val="center"/>
                    <w:rPr>
                      <w:rFonts w:ascii="Times New Roman" w:hAnsi="Times New Roman"/>
                    </w:rPr>
                  </w:pPr>
                  <w:r>
                    <w:rPr>
                      <w:rFonts w:hint="eastAsia" w:ascii="Times New Roman" w:hAnsi="Times New Roman"/>
                    </w:rPr>
                    <w:t>34.89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125</w:t>
                  </w:r>
                </w:p>
              </w:tc>
              <w:tc>
                <w:tcPr>
                  <w:tcW w:w="1029" w:type="pct"/>
                  <w:vAlign w:val="center"/>
                </w:tcPr>
                <w:p>
                  <w:pPr>
                    <w:jc w:val="center"/>
                    <w:rPr>
                      <w:rFonts w:ascii="Times New Roman" w:hAnsi="Times New Roman"/>
                    </w:rPr>
                  </w:pPr>
                  <w:r>
                    <w:rPr>
                      <w:rFonts w:hint="eastAsia" w:ascii="Times New Roman" w:hAnsi="Times New Roman"/>
                    </w:rPr>
                    <w:t>7.00E-02</w:t>
                  </w:r>
                </w:p>
              </w:tc>
              <w:tc>
                <w:tcPr>
                  <w:tcW w:w="589" w:type="pct"/>
                  <w:vAlign w:val="center"/>
                </w:tcPr>
                <w:p>
                  <w:pPr>
                    <w:jc w:val="center"/>
                    <w:rPr>
                      <w:rFonts w:ascii="Times New Roman" w:hAnsi="Times New Roman"/>
                    </w:rPr>
                  </w:pPr>
                  <w:r>
                    <w:rPr>
                      <w:rFonts w:hint="eastAsia" w:ascii="Times New Roman" w:hAnsi="Times New Roman"/>
                    </w:rPr>
                    <w:t>3.5</w:t>
                  </w:r>
                </w:p>
              </w:tc>
              <w:tc>
                <w:tcPr>
                  <w:tcW w:w="882" w:type="pct"/>
                  <w:vAlign w:val="center"/>
                </w:tcPr>
                <w:p>
                  <w:pPr>
                    <w:jc w:val="center"/>
                    <w:rPr>
                      <w:rFonts w:ascii="Times New Roman" w:hAnsi="Times New Roman"/>
                    </w:rPr>
                  </w:pPr>
                  <w:r>
                    <w:rPr>
                      <w:rFonts w:hint="eastAsia" w:ascii="Times New Roman" w:hAnsi="Times New Roman"/>
                    </w:rPr>
                    <w:t>125</w:t>
                  </w:r>
                </w:p>
              </w:tc>
              <w:tc>
                <w:tcPr>
                  <w:tcW w:w="1029" w:type="pct"/>
                  <w:vAlign w:val="center"/>
                </w:tcPr>
                <w:p>
                  <w:pPr>
                    <w:jc w:val="center"/>
                    <w:rPr>
                      <w:rFonts w:ascii="Times New Roman" w:hAnsi="Times New Roman"/>
                    </w:rPr>
                  </w:pPr>
                  <w:r>
                    <w:rPr>
                      <w:rFonts w:hint="eastAsia" w:ascii="Times New Roman" w:hAnsi="Times New Roman"/>
                    </w:rPr>
                    <w:t>6.08E-01</w:t>
                  </w:r>
                </w:p>
              </w:tc>
              <w:tc>
                <w:tcPr>
                  <w:tcW w:w="589" w:type="pct"/>
                  <w:vAlign w:val="center"/>
                </w:tcPr>
                <w:p>
                  <w:pPr>
                    <w:jc w:val="center"/>
                    <w:rPr>
                      <w:rFonts w:ascii="Times New Roman" w:hAnsi="Times New Roman"/>
                    </w:rPr>
                  </w:pPr>
                  <w:r>
                    <w:rPr>
                      <w:rFonts w:hint="eastAsia" w:ascii="Times New Roman" w:hAnsi="Times New Roman"/>
                    </w:rPr>
                    <w:t>30.39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150</w:t>
                  </w:r>
                </w:p>
              </w:tc>
              <w:tc>
                <w:tcPr>
                  <w:tcW w:w="1029" w:type="pct"/>
                  <w:vAlign w:val="center"/>
                </w:tcPr>
                <w:p>
                  <w:pPr>
                    <w:jc w:val="center"/>
                    <w:rPr>
                      <w:rFonts w:ascii="Times New Roman" w:hAnsi="Times New Roman"/>
                    </w:rPr>
                  </w:pPr>
                  <w:r>
                    <w:rPr>
                      <w:rFonts w:hint="eastAsia" w:ascii="Times New Roman" w:hAnsi="Times New Roman"/>
                    </w:rPr>
                    <w:t>6.18E-02</w:t>
                  </w:r>
                </w:p>
              </w:tc>
              <w:tc>
                <w:tcPr>
                  <w:tcW w:w="589" w:type="pct"/>
                  <w:vAlign w:val="center"/>
                </w:tcPr>
                <w:p>
                  <w:pPr>
                    <w:jc w:val="center"/>
                    <w:rPr>
                      <w:rFonts w:ascii="Times New Roman" w:hAnsi="Times New Roman"/>
                    </w:rPr>
                  </w:pPr>
                  <w:r>
                    <w:rPr>
                      <w:rFonts w:hint="eastAsia" w:ascii="Times New Roman" w:hAnsi="Times New Roman"/>
                    </w:rPr>
                    <w:t>3.09</w:t>
                  </w:r>
                </w:p>
              </w:tc>
              <w:tc>
                <w:tcPr>
                  <w:tcW w:w="882" w:type="pct"/>
                  <w:vAlign w:val="center"/>
                </w:tcPr>
                <w:p>
                  <w:pPr>
                    <w:jc w:val="center"/>
                    <w:rPr>
                      <w:rFonts w:ascii="Times New Roman" w:hAnsi="Times New Roman"/>
                    </w:rPr>
                  </w:pPr>
                  <w:r>
                    <w:rPr>
                      <w:rFonts w:hint="eastAsia" w:ascii="Times New Roman" w:hAnsi="Times New Roman"/>
                    </w:rPr>
                    <w:t>150</w:t>
                  </w:r>
                </w:p>
              </w:tc>
              <w:tc>
                <w:tcPr>
                  <w:tcW w:w="1029" w:type="pct"/>
                  <w:vAlign w:val="center"/>
                </w:tcPr>
                <w:p>
                  <w:pPr>
                    <w:jc w:val="center"/>
                    <w:rPr>
                      <w:rFonts w:ascii="Times New Roman" w:hAnsi="Times New Roman"/>
                    </w:rPr>
                  </w:pPr>
                  <w:r>
                    <w:rPr>
                      <w:rFonts w:hint="eastAsia" w:ascii="Times New Roman" w:hAnsi="Times New Roman"/>
                    </w:rPr>
                    <w:t>5.36E-01</w:t>
                  </w:r>
                </w:p>
              </w:tc>
              <w:tc>
                <w:tcPr>
                  <w:tcW w:w="589" w:type="pct"/>
                  <w:vAlign w:val="center"/>
                </w:tcPr>
                <w:p>
                  <w:pPr>
                    <w:jc w:val="center"/>
                    <w:rPr>
                      <w:rFonts w:ascii="Times New Roman" w:hAnsi="Times New Roman"/>
                    </w:rPr>
                  </w:pPr>
                  <w:r>
                    <w:rPr>
                      <w:rFonts w:hint="eastAsia" w:ascii="Times New Roman" w:hAnsi="Times New Roman"/>
                    </w:rPr>
                    <w:t>26.82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175</w:t>
                  </w:r>
                </w:p>
              </w:tc>
              <w:tc>
                <w:tcPr>
                  <w:tcW w:w="1029" w:type="pct"/>
                  <w:vAlign w:val="center"/>
                </w:tcPr>
                <w:p>
                  <w:pPr>
                    <w:jc w:val="center"/>
                    <w:rPr>
                      <w:rFonts w:ascii="Times New Roman" w:hAnsi="Times New Roman"/>
                    </w:rPr>
                  </w:pPr>
                  <w:r>
                    <w:rPr>
                      <w:rFonts w:hint="eastAsia" w:ascii="Times New Roman" w:hAnsi="Times New Roman"/>
                    </w:rPr>
                    <w:t>5.62E-02</w:t>
                  </w:r>
                </w:p>
              </w:tc>
              <w:tc>
                <w:tcPr>
                  <w:tcW w:w="589" w:type="pct"/>
                  <w:vAlign w:val="center"/>
                </w:tcPr>
                <w:p>
                  <w:pPr>
                    <w:jc w:val="center"/>
                    <w:rPr>
                      <w:rFonts w:ascii="Times New Roman" w:hAnsi="Times New Roman"/>
                    </w:rPr>
                  </w:pPr>
                  <w:r>
                    <w:rPr>
                      <w:rFonts w:hint="eastAsia" w:ascii="Times New Roman" w:hAnsi="Times New Roman"/>
                    </w:rPr>
                    <w:t>2.81</w:t>
                  </w:r>
                </w:p>
              </w:tc>
              <w:tc>
                <w:tcPr>
                  <w:tcW w:w="882" w:type="pct"/>
                  <w:vAlign w:val="center"/>
                </w:tcPr>
                <w:p>
                  <w:pPr>
                    <w:jc w:val="center"/>
                    <w:rPr>
                      <w:rFonts w:ascii="Times New Roman" w:hAnsi="Times New Roman"/>
                    </w:rPr>
                  </w:pPr>
                  <w:r>
                    <w:rPr>
                      <w:rFonts w:hint="eastAsia" w:ascii="Times New Roman" w:hAnsi="Times New Roman"/>
                    </w:rPr>
                    <w:t>175</w:t>
                  </w:r>
                </w:p>
              </w:tc>
              <w:tc>
                <w:tcPr>
                  <w:tcW w:w="1029" w:type="pct"/>
                  <w:vAlign w:val="center"/>
                </w:tcPr>
                <w:p>
                  <w:pPr>
                    <w:jc w:val="center"/>
                    <w:rPr>
                      <w:rFonts w:ascii="Times New Roman" w:hAnsi="Times New Roman"/>
                    </w:rPr>
                  </w:pPr>
                  <w:r>
                    <w:rPr>
                      <w:rFonts w:hint="eastAsia" w:ascii="Times New Roman" w:hAnsi="Times New Roman"/>
                    </w:rPr>
                    <w:t>4.88E-01</w:t>
                  </w:r>
                </w:p>
              </w:tc>
              <w:tc>
                <w:tcPr>
                  <w:tcW w:w="589" w:type="pct"/>
                  <w:vAlign w:val="center"/>
                </w:tcPr>
                <w:p>
                  <w:pPr>
                    <w:jc w:val="center"/>
                    <w:rPr>
                      <w:rFonts w:ascii="Times New Roman" w:hAnsi="Times New Roman"/>
                    </w:rPr>
                  </w:pPr>
                  <w:r>
                    <w:rPr>
                      <w:rFonts w:hint="eastAsia" w:ascii="Times New Roman" w:hAnsi="Times New Roman"/>
                    </w:rPr>
                    <w:t>24.4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200</w:t>
                  </w:r>
                </w:p>
              </w:tc>
              <w:tc>
                <w:tcPr>
                  <w:tcW w:w="1029" w:type="pct"/>
                  <w:vAlign w:val="center"/>
                </w:tcPr>
                <w:p>
                  <w:pPr>
                    <w:jc w:val="center"/>
                    <w:rPr>
                      <w:rFonts w:ascii="Times New Roman" w:hAnsi="Times New Roman"/>
                    </w:rPr>
                  </w:pPr>
                  <w:r>
                    <w:rPr>
                      <w:rFonts w:hint="eastAsia" w:ascii="Times New Roman" w:hAnsi="Times New Roman"/>
                    </w:rPr>
                    <w:t>5.14E-02</w:t>
                  </w:r>
                </w:p>
              </w:tc>
              <w:tc>
                <w:tcPr>
                  <w:tcW w:w="589" w:type="pct"/>
                  <w:vAlign w:val="center"/>
                </w:tcPr>
                <w:p>
                  <w:pPr>
                    <w:jc w:val="center"/>
                    <w:rPr>
                      <w:rFonts w:ascii="Times New Roman" w:hAnsi="Times New Roman"/>
                    </w:rPr>
                  </w:pPr>
                  <w:r>
                    <w:rPr>
                      <w:rFonts w:hint="eastAsia" w:ascii="Times New Roman" w:hAnsi="Times New Roman"/>
                    </w:rPr>
                    <w:t>2.57</w:t>
                  </w:r>
                </w:p>
              </w:tc>
              <w:tc>
                <w:tcPr>
                  <w:tcW w:w="882" w:type="pct"/>
                  <w:vAlign w:val="center"/>
                </w:tcPr>
                <w:p>
                  <w:pPr>
                    <w:jc w:val="center"/>
                    <w:rPr>
                      <w:rFonts w:ascii="Times New Roman" w:hAnsi="Times New Roman"/>
                    </w:rPr>
                  </w:pPr>
                  <w:r>
                    <w:rPr>
                      <w:rFonts w:hint="eastAsia" w:ascii="Times New Roman" w:hAnsi="Times New Roman"/>
                    </w:rPr>
                    <w:t>200</w:t>
                  </w:r>
                </w:p>
              </w:tc>
              <w:tc>
                <w:tcPr>
                  <w:tcW w:w="1029" w:type="pct"/>
                  <w:vAlign w:val="center"/>
                </w:tcPr>
                <w:p>
                  <w:pPr>
                    <w:jc w:val="center"/>
                    <w:rPr>
                      <w:rFonts w:ascii="Times New Roman" w:hAnsi="Times New Roman"/>
                    </w:rPr>
                  </w:pPr>
                  <w:r>
                    <w:rPr>
                      <w:rFonts w:hint="eastAsia" w:ascii="Times New Roman" w:hAnsi="Times New Roman"/>
                    </w:rPr>
                    <w:t>4.47E-01</w:t>
                  </w:r>
                </w:p>
              </w:tc>
              <w:tc>
                <w:tcPr>
                  <w:tcW w:w="589" w:type="pct"/>
                  <w:vAlign w:val="center"/>
                </w:tcPr>
                <w:p>
                  <w:pPr>
                    <w:jc w:val="center"/>
                    <w:rPr>
                      <w:rFonts w:ascii="Times New Roman" w:hAnsi="Times New Roman"/>
                    </w:rPr>
                  </w:pPr>
                  <w:r>
                    <w:rPr>
                      <w:rFonts w:hint="eastAsia" w:ascii="Times New Roman" w:hAnsi="Times New Roman"/>
                    </w:rPr>
                    <w:t>22.33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225</w:t>
                  </w:r>
                </w:p>
              </w:tc>
              <w:tc>
                <w:tcPr>
                  <w:tcW w:w="1029" w:type="pct"/>
                  <w:vAlign w:val="center"/>
                </w:tcPr>
                <w:p>
                  <w:pPr>
                    <w:jc w:val="center"/>
                    <w:rPr>
                      <w:rFonts w:ascii="Times New Roman" w:hAnsi="Times New Roman"/>
                    </w:rPr>
                  </w:pPr>
                  <w:r>
                    <w:rPr>
                      <w:rFonts w:hint="eastAsia" w:ascii="Times New Roman" w:hAnsi="Times New Roman"/>
                    </w:rPr>
                    <w:t>4.75E-02</w:t>
                  </w:r>
                </w:p>
              </w:tc>
              <w:tc>
                <w:tcPr>
                  <w:tcW w:w="589" w:type="pct"/>
                  <w:vAlign w:val="center"/>
                </w:tcPr>
                <w:p>
                  <w:pPr>
                    <w:jc w:val="center"/>
                    <w:rPr>
                      <w:rFonts w:ascii="Times New Roman" w:hAnsi="Times New Roman"/>
                    </w:rPr>
                  </w:pPr>
                  <w:r>
                    <w:rPr>
                      <w:rFonts w:hint="eastAsia" w:ascii="Times New Roman" w:hAnsi="Times New Roman"/>
                    </w:rPr>
                    <w:t>2.38</w:t>
                  </w:r>
                </w:p>
              </w:tc>
              <w:tc>
                <w:tcPr>
                  <w:tcW w:w="882" w:type="pct"/>
                  <w:vAlign w:val="center"/>
                </w:tcPr>
                <w:p>
                  <w:pPr>
                    <w:jc w:val="center"/>
                    <w:rPr>
                      <w:rFonts w:ascii="Times New Roman" w:hAnsi="Times New Roman"/>
                    </w:rPr>
                  </w:pPr>
                  <w:r>
                    <w:rPr>
                      <w:rFonts w:hint="eastAsia" w:ascii="Times New Roman" w:hAnsi="Times New Roman"/>
                    </w:rPr>
                    <w:t>225</w:t>
                  </w:r>
                </w:p>
              </w:tc>
              <w:tc>
                <w:tcPr>
                  <w:tcW w:w="1029" w:type="pct"/>
                  <w:vAlign w:val="center"/>
                </w:tcPr>
                <w:p>
                  <w:pPr>
                    <w:jc w:val="center"/>
                    <w:rPr>
                      <w:rFonts w:ascii="Times New Roman" w:hAnsi="Times New Roman"/>
                    </w:rPr>
                  </w:pPr>
                  <w:r>
                    <w:rPr>
                      <w:rFonts w:hint="eastAsia" w:ascii="Times New Roman" w:hAnsi="Times New Roman"/>
                    </w:rPr>
                    <w:t>4.12E-01</w:t>
                  </w:r>
                </w:p>
              </w:tc>
              <w:tc>
                <w:tcPr>
                  <w:tcW w:w="589" w:type="pct"/>
                  <w:vAlign w:val="center"/>
                </w:tcPr>
                <w:p>
                  <w:pPr>
                    <w:jc w:val="center"/>
                    <w:rPr>
                      <w:rFonts w:ascii="Times New Roman" w:hAnsi="Times New Roman"/>
                    </w:rPr>
                  </w:pPr>
                  <w:r>
                    <w:rPr>
                      <w:rFonts w:hint="eastAsia" w:ascii="Times New Roman" w:hAnsi="Times New Roman"/>
                    </w:rPr>
                    <w:t>20.62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250</w:t>
                  </w:r>
                </w:p>
              </w:tc>
              <w:tc>
                <w:tcPr>
                  <w:tcW w:w="1029" w:type="pct"/>
                  <w:vAlign w:val="center"/>
                </w:tcPr>
                <w:p>
                  <w:pPr>
                    <w:jc w:val="center"/>
                    <w:rPr>
                      <w:rFonts w:ascii="Times New Roman" w:hAnsi="Times New Roman"/>
                    </w:rPr>
                  </w:pPr>
                  <w:r>
                    <w:rPr>
                      <w:rFonts w:hint="eastAsia" w:ascii="Times New Roman" w:hAnsi="Times New Roman"/>
                    </w:rPr>
                    <w:t>4.42E-02</w:t>
                  </w:r>
                </w:p>
              </w:tc>
              <w:tc>
                <w:tcPr>
                  <w:tcW w:w="589" w:type="pct"/>
                  <w:vAlign w:val="center"/>
                </w:tcPr>
                <w:p>
                  <w:pPr>
                    <w:jc w:val="center"/>
                    <w:rPr>
                      <w:rFonts w:ascii="Times New Roman" w:hAnsi="Times New Roman"/>
                    </w:rPr>
                  </w:pPr>
                  <w:r>
                    <w:rPr>
                      <w:rFonts w:hint="eastAsia" w:ascii="Times New Roman" w:hAnsi="Times New Roman"/>
                    </w:rPr>
                    <w:t>2.21</w:t>
                  </w:r>
                </w:p>
              </w:tc>
              <w:tc>
                <w:tcPr>
                  <w:tcW w:w="882" w:type="pct"/>
                  <w:vAlign w:val="center"/>
                </w:tcPr>
                <w:p>
                  <w:pPr>
                    <w:jc w:val="center"/>
                    <w:rPr>
                      <w:rFonts w:ascii="Times New Roman" w:hAnsi="Times New Roman"/>
                    </w:rPr>
                  </w:pPr>
                  <w:r>
                    <w:rPr>
                      <w:rFonts w:hint="eastAsia" w:ascii="Times New Roman" w:hAnsi="Times New Roman"/>
                    </w:rPr>
                    <w:t>250</w:t>
                  </w:r>
                </w:p>
              </w:tc>
              <w:tc>
                <w:tcPr>
                  <w:tcW w:w="1029" w:type="pct"/>
                  <w:vAlign w:val="center"/>
                </w:tcPr>
                <w:p>
                  <w:pPr>
                    <w:jc w:val="center"/>
                    <w:rPr>
                      <w:rFonts w:ascii="Times New Roman" w:hAnsi="Times New Roman"/>
                    </w:rPr>
                  </w:pPr>
                  <w:r>
                    <w:rPr>
                      <w:rFonts w:hint="eastAsia" w:ascii="Times New Roman" w:hAnsi="Times New Roman"/>
                    </w:rPr>
                    <w:t>3.83E-01</w:t>
                  </w:r>
                </w:p>
              </w:tc>
              <w:tc>
                <w:tcPr>
                  <w:tcW w:w="589" w:type="pct"/>
                  <w:vAlign w:val="center"/>
                </w:tcPr>
                <w:p>
                  <w:pPr>
                    <w:jc w:val="center"/>
                    <w:rPr>
                      <w:rFonts w:ascii="Times New Roman" w:hAnsi="Times New Roman"/>
                    </w:rPr>
                  </w:pPr>
                  <w:r>
                    <w:rPr>
                      <w:rFonts w:hint="eastAsia" w:ascii="Times New Roman" w:hAnsi="Times New Roman"/>
                    </w:rPr>
                    <w:t>19.16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275</w:t>
                  </w:r>
                </w:p>
              </w:tc>
              <w:tc>
                <w:tcPr>
                  <w:tcW w:w="1029" w:type="pct"/>
                  <w:vAlign w:val="center"/>
                </w:tcPr>
                <w:p>
                  <w:pPr>
                    <w:jc w:val="center"/>
                    <w:rPr>
                      <w:rFonts w:ascii="Times New Roman" w:hAnsi="Times New Roman"/>
                    </w:rPr>
                  </w:pPr>
                  <w:r>
                    <w:rPr>
                      <w:rFonts w:hint="eastAsia" w:ascii="Times New Roman" w:hAnsi="Times New Roman"/>
                    </w:rPr>
                    <w:t>4.11E-02</w:t>
                  </w:r>
                </w:p>
              </w:tc>
              <w:tc>
                <w:tcPr>
                  <w:tcW w:w="589" w:type="pct"/>
                  <w:vAlign w:val="center"/>
                </w:tcPr>
                <w:p>
                  <w:pPr>
                    <w:jc w:val="center"/>
                    <w:rPr>
                      <w:rFonts w:ascii="Times New Roman" w:hAnsi="Times New Roman"/>
                    </w:rPr>
                  </w:pPr>
                  <w:r>
                    <w:rPr>
                      <w:rFonts w:hint="eastAsia" w:ascii="Times New Roman" w:hAnsi="Times New Roman"/>
                    </w:rPr>
                    <w:t>2.06</w:t>
                  </w:r>
                </w:p>
              </w:tc>
              <w:tc>
                <w:tcPr>
                  <w:tcW w:w="882" w:type="pct"/>
                  <w:vAlign w:val="center"/>
                </w:tcPr>
                <w:p>
                  <w:pPr>
                    <w:jc w:val="center"/>
                    <w:rPr>
                      <w:rFonts w:ascii="Times New Roman" w:hAnsi="Times New Roman"/>
                    </w:rPr>
                  </w:pPr>
                  <w:r>
                    <w:rPr>
                      <w:rFonts w:hint="eastAsia" w:ascii="Times New Roman" w:hAnsi="Times New Roman"/>
                    </w:rPr>
                    <w:t>275</w:t>
                  </w:r>
                </w:p>
              </w:tc>
              <w:tc>
                <w:tcPr>
                  <w:tcW w:w="1029" w:type="pct"/>
                  <w:vAlign w:val="center"/>
                </w:tcPr>
                <w:p>
                  <w:pPr>
                    <w:jc w:val="center"/>
                    <w:rPr>
                      <w:rFonts w:ascii="Times New Roman" w:hAnsi="Times New Roman"/>
                    </w:rPr>
                  </w:pPr>
                  <w:r>
                    <w:rPr>
                      <w:rFonts w:hint="eastAsia" w:ascii="Times New Roman" w:hAnsi="Times New Roman"/>
                    </w:rPr>
                    <w:t>3.57E-01</w:t>
                  </w:r>
                </w:p>
              </w:tc>
              <w:tc>
                <w:tcPr>
                  <w:tcW w:w="589" w:type="pct"/>
                  <w:vAlign w:val="center"/>
                </w:tcPr>
                <w:p>
                  <w:pPr>
                    <w:jc w:val="center"/>
                    <w:rPr>
                      <w:rFonts w:ascii="Times New Roman" w:hAnsi="Times New Roman"/>
                    </w:rPr>
                  </w:pPr>
                  <w:r>
                    <w:rPr>
                      <w:rFonts w:hint="eastAsia" w:ascii="Times New Roman" w:hAnsi="Times New Roman"/>
                    </w:rPr>
                    <w:t>17.85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300</w:t>
                  </w:r>
                </w:p>
              </w:tc>
              <w:tc>
                <w:tcPr>
                  <w:tcW w:w="1029" w:type="pct"/>
                  <w:vAlign w:val="center"/>
                </w:tcPr>
                <w:p>
                  <w:pPr>
                    <w:jc w:val="center"/>
                    <w:rPr>
                      <w:rFonts w:ascii="Times New Roman" w:hAnsi="Times New Roman"/>
                    </w:rPr>
                  </w:pPr>
                  <w:r>
                    <w:rPr>
                      <w:rFonts w:hint="eastAsia" w:ascii="Times New Roman" w:hAnsi="Times New Roman"/>
                    </w:rPr>
                    <w:t>3.84E-02</w:t>
                  </w:r>
                </w:p>
              </w:tc>
              <w:tc>
                <w:tcPr>
                  <w:tcW w:w="589" w:type="pct"/>
                  <w:vAlign w:val="center"/>
                </w:tcPr>
                <w:p>
                  <w:pPr>
                    <w:jc w:val="center"/>
                    <w:rPr>
                      <w:rFonts w:ascii="Times New Roman" w:hAnsi="Times New Roman"/>
                    </w:rPr>
                  </w:pPr>
                  <w:r>
                    <w:rPr>
                      <w:rFonts w:hint="eastAsia" w:ascii="Times New Roman" w:hAnsi="Times New Roman"/>
                    </w:rPr>
                    <w:t>1.92</w:t>
                  </w:r>
                </w:p>
              </w:tc>
              <w:tc>
                <w:tcPr>
                  <w:tcW w:w="882" w:type="pct"/>
                  <w:vAlign w:val="center"/>
                </w:tcPr>
                <w:p>
                  <w:pPr>
                    <w:jc w:val="center"/>
                    <w:rPr>
                      <w:rFonts w:ascii="Times New Roman" w:hAnsi="Times New Roman"/>
                    </w:rPr>
                  </w:pPr>
                  <w:r>
                    <w:rPr>
                      <w:rFonts w:hint="eastAsia" w:ascii="Times New Roman" w:hAnsi="Times New Roman"/>
                    </w:rPr>
                    <w:t>300</w:t>
                  </w:r>
                </w:p>
              </w:tc>
              <w:tc>
                <w:tcPr>
                  <w:tcW w:w="1029" w:type="pct"/>
                  <w:vAlign w:val="center"/>
                </w:tcPr>
                <w:p>
                  <w:pPr>
                    <w:jc w:val="center"/>
                    <w:rPr>
                      <w:rFonts w:ascii="Times New Roman" w:hAnsi="Times New Roman"/>
                    </w:rPr>
                  </w:pPr>
                  <w:r>
                    <w:rPr>
                      <w:rFonts w:hint="eastAsia" w:ascii="Times New Roman" w:hAnsi="Times New Roman"/>
                    </w:rPr>
                    <w:t>3.33E-01</w:t>
                  </w:r>
                </w:p>
              </w:tc>
              <w:tc>
                <w:tcPr>
                  <w:tcW w:w="589" w:type="pct"/>
                  <w:vAlign w:val="center"/>
                </w:tcPr>
                <w:p>
                  <w:pPr>
                    <w:jc w:val="center"/>
                    <w:rPr>
                      <w:rFonts w:ascii="Times New Roman" w:hAnsi="Times New Roman"/>
                    </w:rPr>
                  </w:pPr>
                  <w:r>
                    <w:rPr>
                      <w:rFonts w:hint="eastAsia" w:ascii="Times New Roman" w:hAnsi="Times New Roman"/>
                    </w:rPr>
                    <w:t>16.67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325</w:t>
                  </w:r>
                </w:p>
              </w:tc>
              <w:tc>
                <w:tcPr>
                  <w:tcW w:w="1029" w:type="pct"/>
                  <w:vAlign w:val="center"/>
                </w:tcPr>
                <w:p>
                  <w:pPr>
                    <w:jc w:val="center"/>
                    <w:rPr>
                      <w:rFonts w:ascii="Times New Roman" w:hAnsi="Times New Roman"/>
                    </w:rPr>
                  </w:pPr>
                  <w:r>
                    <w:rPr>
                      <w:rFonts w:hint="eastAsia" w:ascii="Times New Roman" w:hAnsi="Times New Roman"/>
                    </w:rPr>
                    <w:t>3.59E-02</w:t>
                  </w:r>
                </w:p>
              </w:tc>
              <w:tc>
                <w:tcPr>
                  <w:tcW w:w="589" w:type="pct"/>
                  <w:vAlign w:val="center"/>
                </w:tcPr>
                <w:p>
                  <w:pPr>
                    <w:jc w:val="center"/>
                    <w:rPr>
                      <w:rFonts w:ascii="Times New Roman" w:hAnsi="Times New Roman"/>
                    </w:rPr>
                  </w:pPr>
                  <w:r>
                    <w:rPr>
                      <w:rFonts w:hint="eastAsia" w:ascii="Times New Roman" w:hAnsi="Times New Roman"/>
                    </w:rPr>
                    <w:t>1.8</w:t>
                  </w:r>
                </w:p>
              </w:tc>
              <w:tc>
                <w:tcPr>
                  <w:tcW w:w="882" w:type="pct"/>
                  <w:vAlign w:val="center"/>
                </w:tcPr>
                <w:p>
                  <w:pPr>
                    <w:jc w:val="center"/>
                    <w:rPr>
                      <w:rFonts w:ascii="Times New Roman" w:hAnsi="Times New Roman"/>
                    </w:rPr>
                  </w:pPr>
                  <w:r>
                    <w:rPr>
                      <w:rFonts w:hint="eastAsia" w:ascii="Times New Roman" w:hAnsi="Times New Roman"/>
                    </w:rPr>
                    <w:t>325</w:t>
                  </w:r>
                </w:p>
              </w:tc>
              <w:tc>
                <w:tcPr>
                  <w:tcW w:w="1029" w:type="pct"/>
                  <w:vAlign w:val="center"/>
                </w:tcPr>
                <w:p>
                  <w:pPr>
                    <w:jc w:val="center"/>
                    <w:rPr>
                      <w:rFonts w:ascii="Times New Roman" w:hAnsi="Times New Roman"/>
                    </w:rPr>
                  </w:pPr>
                  <w:r>
                    <w:rPr>
                      <w:rFonts w:hint="eastAsia" w:ascii="Times New Roman" w:hAnsi="Times New Roman"/>
                    </w:rPr>
                    <w:t>3.12E-01</w:t>
                  </w:r>
                </w:p>
              </w:tc>
              <w:tc>
                <w:tcPr>
                  <w:tcW w:w="589" w:type="pct"/>
                  <w:vAlign w:val="center"/>
                </w:tcPr>
                <w:p>
                  <w:pPr>
                    <w:jc w:val="center"/>
                    <w:rPr>
                      <w:rFonts w:ascii="Times New Roman" w:hAnsi="Times New Roman"/>
                    </w:rPr>
                  </w:pPr>
                  <w:r>
                    <w:rPr>
                      <w:rFonts w:hint="eastAsia" w:ascii="Times New Roman" w:hAnsi="Times New Roman"/>
                    </w:rPr>
                    <w:t>15.59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350</w:t>
                  </w:r>
                </w:p>
              </w:tc>
              <w:tc>
                <w:tcPr>
                  <w:tcW w:w="1029" w:type="pct"/>
                  <w:vAlign w:val="center"/>
                </w:tcPr>
                <w:p>
                  <w:pPr>
                    <w:jc w:val="center"/>
                    <w:rPr>
                      <w:rFonts w:ascii="Times New Roman" w:hAnsi="Times New Roman"/>
                    </w:rPr>
                  </w:pPr>
                  <w:r>
                    <w:rPr>
                      <w:rFonts w:hint="eastAsia" w:ascii="Times New Roman" w:hAnsi="Times New Roman"/>
                    </w:rPr>
                    <w:t>3.37E-02</w:t>
                  </w:r>
                </w:p>
              </w:tc>
              <w:tc>
                <w:tcPr>
                  <w:tcW w:w="589" w:type="pct"/>
                  <w:vAlign w:val="center"/>
                </w:tcPr>
                <w:p>
                  <w:pPr>
                    <w:jc w:val="center"/>
                    <w:rPr>
                      <w:rFonts w:ascii="Times New Roman" w:hAnsi="Times New Roman"/>
                    </w:rPr>
                  </w:pPr>
                  <w:r>
                    <w:rPr>
                      <w:rFonts w:hint="eastAsia" w:ascii="Times New Roman" w:hAnsi="Times New Roman"/>
                    </w:rPr>
                    <w:t>1.68</w:t>
                  </w:r>
                </w:p>
              </w:tc>
              <w:tc>
                <w:tcPr>
                  <w:tcW w:w="882" w:type="pct"/>
                  <w:vAlign w:val="center"/>
                </w:tcPr>
                <w:p>
                  <w:pPr>
                    <w:jc w:val="center"/>
                    <w:rPr>
                      <w:rFonts w:ascii="Times New Roman" w:hAnsi="Times New Roman"/>
                    </w:rPr>
                  </w:pPr>
                  <w:r>
                    <w:rPr>
                      <w:rFonts w:hint="eastAsia" w:ascii="Times New Roman" w:hAnsi="Times New Roman"/>
                    </w:rPr>
                    <w:t>350</w:t>
                  </w:r>
                </w:p>
              </w:tc>
              <w:tc>
                <w:tcPr>
                  <w:tcW w:w="1029" w:type="pct"/>
                  <w:vAlign w:val="center"/>
                </w:tcPr>
                <w:p>
                  <w:pPr>
                    <w:jc w:val="center"/>
                    <w:rPr>
                      <w:rFonts w:ascii="Times New Roman" w:hAnsi="Times New Roman"/>
                    </w:rPr>
                  </w:pPr>
                  <w:r>
                    <w:rPr>
                      <w:rFonts w:hint="eastAsia" w:ascii="Times New Roman" w:hAnsi="Times New Roman"/>
                    </w:rPr>
                    <w:t>2.92E-01</w:t>
                  </w:r>
                </w:p>
              </w:tc>
              <w:tc>
                <w:tcPr>
                  <w:tcW w:w="589" w:type="pct"/>
                  <w:vAlign w:val="center"/>
                </w:tcPr>
                <w:p>
                  <w:pPr>
                    <w:jc w:val="center"/>
                    <w:rPr>
                      <w:rFonts w:ascii="Times New Roman" w:hAnsi="Times New Roman"/>
                    </w:rPr>
                  </w:pPr>
                  <w:r>
                    <w:rPr>
                      <w:rFonts w:hint="eastAsia" w:ascii="Times New Roman" w:hAnsi="Times New Roman"/>
                    </w:rPr>
                    <w:t>14.62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375</w:t>
                  </w:r>
                </w:p>
              </w:tc>
              <w:tc>
                <w:tcPr>
                  <w:tcW w:w="1029" w:type="pct"/>
                  <w:vAlign w:val="center"/>
                </w:tcPr>
                <w:p>
                  <w:pPr>
                    <w:jc w:val="center"/>
                    <w:rPr>
                      <w:rFonts w:ascii="Times New Roman" w:hAnsi="Times New Roman"/>
                    </w:rPr>
                  </w:pPr>
                  <w:r>
                    <w:rPr>
                      <w:rFonts w:hint="eastAsia" w:ascii="Times New Roman" w:hAnsi="Times New Roman"/>
                    </w:rPr>
                    <w:t>3.17E-02</w:t>
                  </w:r>
                </w:p>
              </w:tc>
              <w:tc>
                <w:tcPr>
                  <w:tcW w:w="589" w:type="pct"/>
                  <w:vAlign w:val="center"/>
                </w:tcPr>
                <w:p>
                  <w:pPr>
                    <w:jc w:val="center"/>
                    <w:rPr>
                      <w:rFonts w:ascii="Times New Roman" w:hAnsi="Times New Roman"/>
                    </w:rPr>
                  </w:pPr>
                  <w:r>
                    <w:rPr>
                      <w:rFonts w:hint="eastAsia" w:ascii="Times New Roman" w:hAnsi="Times New Roman"/>
                    </w:rPr>
                    <w:t>1.58</w:t>
                  </w:r>
                </w:p>
              </w:tc>
              <w:tc>
                <w:tcPr>
                  <w:tcW w:w="882" w:type="pct"/>
                  <w:vAlign w:val="center"/>
                </w:tcPr>
                <w:p>
                  <w:pPr>
                    <w:jc w:val="center"/>
                    <w:rPr>
                      <w:rFonts w:ascii="Times New Roman" w:hAnsi="Times New Roman"/>
                    </w:rPr>
                  </w:pPr>
                  <w:r>
                    <w:rPr>
                      <w:rFonts w:hint="eastAsia" w:ascii="Times New Roman" w:hAnsi="Times New Roman"/>
                    </w:rPr>
                    <w:t>375</w:t>
                  </w:r>
                </w:p>
              </w:tc>
              <w:tc>
                <w:tcPr>
                  <w:tcW w:w="1029" w:type="pct"/>
                  <w:vAlign w:val="center"/>
                </w:tcPr>
                <w:p>
                  <w:pPr>
                    <w:jc w:val="center"/>
                    <w:rPr>
                      <w:rFonts w:ascii="Times New Roman" w:hAnsi="Times New Roman"/>
                    </w:rPr>
                  </w:pPr>
                  <w:r>
                    <w:rPr>
                      <w:rFonts w:hint="eastAsia" w:ascii="Times New Roman" w:hAnsi="Times New Roman"/>
                    </w:rPr>
                    <w:t>2.75E-01</w:t>
                  </w:r>
                </w:p>
              </w:tc>
              <w:tc>
                <w:tcPr>
                  <w:tcW w:w="589" w:type="pct"/>
                  <w:vAlign w:val="center"/>
                </w:tcPr>
                <w:p>
                  <w:pPr>
                    <w:jc w:val="center"/>
                    <w:rPr>
                      <w:rFonts w:ascii="Times New Roman" w:hAnsi="Times New Roman"/>
                    </w:rPr>
                  </w:pPr>
                  <w:r>
                    <w:rPr>
                      <w:rFonts w:hint="eastAsia" w:ascii="Times New Roman" w:hAnsi="Times New Roman"/>
                    </w:rPr>
                    <w:t>13.74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400</w:t>
                  </w:r>
                </w:p>
              </w:tc>
              <w:tc>
                <w:tcPr>
                  <w:tcW w:w="1029" w:type="pct"/>
                  <w:vAlign w:val="center"/>
                </w:tcPr>
                <w:p>
                  <w:pPr>
                    <w:jc w:val="center"/>
                    <w:rPr>
                      <w:rFonts w:ascii="Times New Roman" w:hAnsi="Times New Roman"/>
                    </w:rPr>
                  </w:pPr>
                  <w:r>
                    <w:rPr>
                      <w:rFonts w:hint="eastAsia" w:ascii="Times New Roman" w:hAnsi="Times New Roman"/>
                    </w:rPr>
                    <w:t>2.98E-02</w:t>
                  </w:r>
                </w:p>
              </w:tc>
              <w:tc>
                <w:tcPr>
                  <w:tcW w:w="589" w:type="pct"/>
                  <w:vAlign w:val="center"/>
                </w:tcPr>
                <w:p>
                  <w:pPr>
                    <w:jc w:val="center"/>
                    <w:rPr>
                      <w:rFonts w:ascii="Times New Roman" w:hAnsi="Times New Roman"/>
                    </w:rPr>
                  </w:pPr>
                  <w:r>
                    <w:rPr>
                      <w:rFonts w:hint="eastAsia" w:ascii="Times New Roman" w:hAnsi="Times New Roman"/>
                    </w:rPr>
                    <w:t>1.49</w:t>
                  </w:r>
                </w:p>
              </w:tc>
              <w:tc>
                <w:tcPr>
                  <w:tcW w:w="882" w:type="pct"/>
                  <w:vAlign w:val="center"/>
                </w:tcPr>
                <w:p>
                  <w:pPr>
                    <w:jc w:val="center"/>
                    <w:rPr>
                      <w:rFonts w:ascii="Times New Roman" w:hAnsi="Times New Roman"/>
                    </w:rPr>
                  </w:pPr>
                  <w:r>
                    <w:rPr>
                      <w:rFonts w:hint="eastAsia" w:ascii="Times New Roman" w:hAnsi="Times New Roman"/>
                    </w:rPr>
                    <w:t>400</w:t>
                  </w:r>
                </w:p>
              </w:tc>
              <w:tc>
                <w:tcPr>
                  <w:tcW w:w="1029" w:type="pct"/>
                  <w:vAlign w:val="center"/>
                </w:tcPr>
                <w:p>
                  <w:pPr>
                    <w:jc w:val="center"/>
                    <w:rPr>
                      <w:rFonts w:ascii="Times New Roman" w:hAnsi="Times New Roman"/>
                    </w:rPr>
                  </w:pPr>
                  <w:r>
                    <w:rPr>
                      <w:rFonts w:hint="eastAsia" w:ascii="Times New Roman" w:hAnsi="Times New Roman"/>
                    </w:rPr>
                    <w:t>2.59E-01</w:t>
                  </w:r>
                </w:p>
              </w:tc>
              <w:tc>
                <w:tcPr>
                  <w:tcW w:w="589" w:type="pct"/>
                  <w:vAlign w:val="center"/>
                </w:tcPr>
                <w:p>
                  <w:pPr>
                    <w:jc w:val="center"/>
                    <w:rPr>
                      <w:rFonts w:ascii="Times New Roman" w:hAnsi="Times New Roman"/>
                    </w:rPr>
                  </w:pPr>
                  <w:r>
                    <w:rPr>
                      <w:rFonts w:hint="eastAsia" w:ascii="Times New Roman" w:hAnsi="Times New Roman"/>
                    </w:rPr>
                    <w:t>12.95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425</w:t>
                  </w:r>
                </w:p>
              </w:tc>
              <w:tc>
                <w:tcPr>
                  <w:tcW w:w="1029" w:type="pct"/>
                  <w:vAlign w:val="center"/>
                </w:tcPr>
                <w:p>
                  <w:pPr>
                    <w:jc w:val="center"/>
                    <w:rPr>
                      <w:rFonts w:ascii="Times New Roman" w:hAnsi="Times New Roman"/>
                    </w:rPr>
                  </w:pPr>
                  <w:r>
                    <w:rPr>
                      <w:rFonts w:hint="eastAsia" w:ascii="Times New Roman" w:hAnsi="Times New Roman"/>
                    </w:rPr>
                    <w:t>2.82E-02</w:t>
                  </w:r>
                </w:p>
              </w:tc>
              <w:tc>
                <w:tcPr>
                  <w:tcW w:w="589" w:type="pct"/>
                  <w:vAlign w:val="center"/>
                </w:tcPr>
                <w:p>
                  <w:pPr>
                    <w:jc w:val="center"/>
                    <w:rPr>
                      <w:rFonts w:ascii="Times New Roman" w:hAnsi="Times New Roman"/>
                    </w:rPr>
                  </w:pPr>
                  <w:r>
                    <w:rPr>
                      <w:rFonts w:hint="eastAsia" w:ascii="Times New Roman" w:hAnsi="Times New Roman"/>
                    </w:rPr>
                    <w:t>1.41</w:t>
                  </w:r>
                </w:p>
              </w:tc>
              <w:tc>
                <w:tcPr>
                  <w:tcW w:w="882" w:type="pct"/>
                  <w:vAlign w:val="center"/>
                </w:tcPr>
                <w:p>
                  <w:pPr>
                    <w:jc w:val="center"/>
                    <w:rPr>
                      <w:rFonts w:ascii="Times New Roman" w:hAnsi="Times New Roman"/>
                    </w:rPr>
                  </w:pPr>
                  <w:r>
                    <w:rPr>
                      <w:rFonts w:hint="eastAsia" w:ascii="Times New Roman" w:hAnsi="Times New Roman"/>
                    </w:rPr>
                    <w:t>425</w:t>
                  </w:r>
                </w:p>
              </w:tc>
              <w:tc>
                <w:tcPr>
                  <w:tcW w:w="1029" w:type="pct"/>
                  <w:vAlign w:val="center"/>
                </w:tcPr>
                <w:p>
                  <w:pPr>
                    <w:jc w:val="center"/>
                    <w:rPr>
                      <w:rFonts w:ascii="Times New Roman" w:hAnsi="Times New Roman"/>
                    </w:rPr>
                  </w:pPr>
                  <w:r>
                    <w:rPr>
                      <w:rFonts w:hint="eastAsia" w:ascii="Times New Roman" w:hAnsi="Times New Roman"/>
                    </w:rPr>
                    <w:t>2.44E-01</w:t>
                  </w:r>
                </w:p>
              </w:tc>
              <w:tc>
                <w:tcPr>
                  <w:tcW w:w="589" w:type="pct"/>
                  <w:vAlign w:val="center"/>
                </w:tcPr>
                <w:p>
                  <w:pPr>
                    <w:jc w:val="center"/>
                    <w:rPr>
                      <w:rFonts w:ascii="Times New Roman" w:hAnsi="Times New Roman"/>
                    </w:rPr>
                  </w:pPr>
                  <w:r>
                    <w:rPr>
                      <w:rFonts w:hint="eastAsia" w:ascii="Times New Roman" w:hAnsi="Times New Roman"/>
                    </w:rPr>
                    <w:t>12.22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450</w:t>
                  </w:r>
                </w:p>
              </w:tc>
              <w:tc>
                <w:tcPr>
                  <w:tcW w:w="1029" w:type="pct"/>
                  <w:vAlign w:val="center"/>
                </w:tcPr>
                <w:p>
                  <w:pPr>
                    <w:jc w:val="center"/>
                    <w:rPr>
                      <w:rFonts w:ascii="Times New Roman" w:hAnsi="Times New Roman"/>
                    </w:rPr>
                  </w:pPr>
                  <w:r>
                    <w:rPr>
                      <w:rFonts w:hint="eastAsia" w:ascii="Times New Roman" w:hAnsi="Times New Roman"/>
                    </w:rPr>
                    <w:t>2.66E-02</w:t>
                  </w:r>
                </w:p>
              </w:tc>
              <w:tc>
                <w:tcPr>
                  <w:tcW w:w="589" w:type="pct"/>
                  <w:vAlign w:val="center"/>
                </w:tcPr>
                <w:p>
                  <w:pPr>
                    <w:jc w:val="center"/>
                    <w:rPr>
                      <w:rFonts w:ascii="Times New Roman" w:hAnsi="Times New Roman"/>
                    </w:rPr>
                  </w:pPr>
                  <w:r>
                    <w:rPr>
                      <w:rFonts w:hint="eastAsia" w:ascii="Times New Roman" w:hAnsi="Times New Roman"/>
                    </w:rPr>
                    <w:t>1.33</w:t>
                  </w:r>
                </w:p>
              </w:tc>
              <w:tc>
                <w:tcPr>
                  <w:tcW w:w="882" w:type="pct"/>
                  <w:vAlign w:val="center"/>
                </w:tcPr>
                <w:p>
                  <w:pPr>
                    <w:jc w:val="center"/>
                    <w:rPr>
                      <w:rFonts w:ascii="Times New Roman" w:hAnsi="Times New Roman"/>
                    </w:rPr>
                  </w:pPr>
                  <w:r>
                    <w:rPr>
                      <w:rFonts w:hint="eastAsia" w:ascii="Times New Roman" w:hAnsi="Times New Roman"/>
                    </w:rPr>
                    <w:t>450</w:t>
                  </w:r>
                </w:p>
              </w:tc>
              <w:tc>
                <w:tcPr>
                  <w:tcW w:w="1029" w:type="pct"/>
                  <w:vAlign w:val="center"/>
                </w:tcPr>
                <w:p>
                  <w:pPr>
                    <w:jc w:val="center"/>
                    <w:rPr>
                      <w:rFonts w:ascii="Times New Roman" w:hAnsi="Times New Roman"/>
                    </w:rPr>
                  </w:pPr>
                  <w:r>
                    <w:rPr>
                      <w:rFonts w:hint="eastAsia" w:ascii="Times New Roman" w:hAnsi="Times New Roman"/>
                    </w:rPr>
                    <w:t>2.31E-01</w:t>
                  </w:r>
                </w:p>
              </w:tc>
              <w:tc>
                <w:tcPr>
                  <w:tcW w:w="589" w:type="pct"/>
                  <w:vAlign w:val="center"/>
                </w:tcPr>
                <w:p>
                  <w:pPr>
                    <w:jc w:val="center"/>
                    <w:rPr>
                      <w:rFonts w:ascii="Times New Roman" w:hAnsi="Times New Roman"/>
                    </w:rPr>
                  </w:pPr>
                  <w:r>
                    <w:rPr>
                      <w:rFonts w:hint="eastAsia" w:ascii="Times New Roman" w:hAnsi="Times New Roman"/>
                    </w:rPr>
                    <w:t>11.57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475</w:t>
                  </w:r>
                </w:p>
              </w:tc>
              <w:tc>
                <w:tcPr>
                  <w:tcW w:w="1029" w:type="pct"/>
                  <w:vAlign w:val="center"/>
                </w:tcPr>
                <w:p>
                  <w:pPr>
                    <w:jc w:val="center"/>
                    <w:rPr>
                      <w:rFonts w:ascii="Times New Roman" w:hAnsi="Times New Roman"/>
                    </w:rPr>
                  </w:pPr>
                  <w:r>
                    <w:rPr>
                      <w:rFonts w:hint="eastAsia" w:ascii="Times New Roman" w:hAnsi="Times New Roman"/>
                    </w:rPr>
                    <w:t>2.53E-02</w:t>
                  </w:r>
                </w:p>
              </w:tc>
              <w:tc>
                <w:tcPr>
                  <w:tcW w:w="589" w:type="pct"/>
                  <w:vAlign w:val="center"/>
                </w:tcPr>
                <w:p>
                  <w:pPr>
                    <w:jc w:val="center"/>
                    <w:rPr>
                      <w:rFonts w:ascii="Times New Roman" w:hAnsi="Times New Roman"/>
                    </w:rPr>
                  </w:pPr>
                  <w:r>
                    <w:rPr>
                      <w:rFonts w:hint="eastAsia" w:ascii="Times New Roman" w:hAnsi="Times New Roman"/>
                    </w:rPr>
                    <w:t>1.26</w:t>
                  </w:r>
                </w:p>
              </w:tc>
              <w:tc>
                <w:tcPr>
                  <w:tcW w:w="882" w:type="pct"/>
                  <w:vAlign w:val="center"/>
                </w:tcPr>
                <w:p>
                  <w:pPr>
                    <w:jc w:val="center"/>
                    <w:rPr>
                      <w:rFonts w:ascii="Times New Roman" w:hAnsi="Times New Roman"/>
                    </w:rPr>
                  </w:pPr>
                  <w:r>
                    <w:rPr>
                      <w:rFonts w:hint="eastAsia" w:ascii="Times New Roman" w:hAnsi="Times New Roman"/>
                    </w:rPr>
                    <w:t>475</w:t>
                  </w:r>
                </w:p>
              </w:tc>
              <w:tc>
                <w:tcPr>
                  <w:tcW w:w="1029" w:type="pct"/>
                  <w:vAlign w:val="center"/>
                </w:tcPr>
                <w:p>
                  <w:pPr>
                    <w:jc w:val="center"/>
                    <w:rPr>
                      <w:rFonts w:ascii="Times New Roman" w:hAnsi="Times New Roman"/>
                    </w:rPr>
                  </w:pPr>
                  <w:r>
                    <w:rPr>
                      <w:rFonts w:hint="eastAsia" w:ascii="Times New Roman" w:hAnsi="Times New Roman"/>
                    </w:rPr>
                    <w:t>2.19E-01</w:t>
                  </w:r>
                </w:p>
              </w:tc>
              <w:tc>
                <w:tcPr>
                  <w:tcW w:w="589" w:type="pct"/>
                  <w:vAlign w:val="center"/>
                </w:tcPr>
                <w:p>
                  <w:pPr>
                    <w:jc w:val="center"/>
                    <w:rPr>
                      <w:rFonts w:ascii="Times New Roman" w:hAnsi="Times New Roman"/>
                    </w:rPr>
                  </w:pPr>
                  <w:r>
                    <w:rPr>
                      <w:rFonts w:hint="eastAsia" w:ascii="Times New Roman" w:hAnsi="Times New Roman"/>
                    </w:rPr>
                    <w:t>10.96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500</w:t>
                  </w:r>
                </w:p>
              </w:tc>
              <w:tc>
                <w:tcPr>
                  <w:tcW w:w="1029" w:type="pct"/>
                  <w:vAlign w:val="center"/>
                </w:tcPr>
                <w:p>
                  <w:pPr>
                    <w:jc w:val="center"/>
                    <w:rPr>
                      <w:rFonts w:ascii="Times New Roman" w:hAnsi="Times New Roman"/>
                    </w:rPr>
                  </w:pPr>
                  <w:r>
                    <w:rPr>
                      <w:rFonts w:hint="eastAsia" w:ascii="Times New Roman" w:hAnsi="Times New Roman"/>
                    </w:rPr>
                    <w:t>2.40E-02</w:t>
                  </w:r>
                </w:p>
              </w:tc>
              <w:tc>
                <w:tcPr>
                  <w:tcW w:w="589" w:type="pct"/>
                  <w:vAlign w:val="center"/>
                </w:tcPr>
                <w:p>
                  <w:pPr>
                    <w:jc w:val="center"/>
                    <w:rPr>
                      <w:rFonts w:ascii="Times New Roman" w:hAnsi="Times New Roman"/>
                    </w:rPr>
                  </w:pPr>
                  <w:r>
                    <w:rPr>
                      <w:rFonts w:hint="eastAsia" w:ascii="Times New Roman" w:hAnsi="Times New Roman"/>
                    </w:rPr>
                    <w:t>1.2</w:t>
                  </w:r>
                </w:p>
              </w:tc>
              <w:tc>
                <w:tcPr>
                  <w:tcW w:w="882" w:type="pct"/>
                  <w:vAlign w:val="center"/>
                </w:tcPr>
                <w:p>
                  <w:pPr>
                    <w:jc w:val="center"/>
                    <w:rPr>
                      <w:rFonts w:ascii="Times New Roman" w:hAnsi="Times New Roman"/>
                    </w:rPr>
                  </w:pPr>
                  <w:r>
                    <w:rPr>
                      <w:rFonts w:hint="eastAsia" w:ascii="Times New Roman" w:hAnsi="Times New Roman"/>
                    </w:rPr>
                    <w:t>500</w:t>
                  </w:r>
                </w:p>
              </w:tc>
              <w:tc>
                <w:tcPr>
                  <w:tcW w:w="1029" w:type="pct"/>
                  <w:vAlign w:val="center"/>
                </w:tcPr>
                <w:p>
                  <w:pPr>
                    <w:jc w:val="center"/>
                    <w:rPr>
                      <w:rFonts w:ascii="Times New Roman" w:hAnsi="Times New Roman"/>
                    </w:rPr>
                  </w:pPr>
                  <w:r>
                    <w:rPr>
                      <w:rFonts w:hint="eastAsia" w:ascii="Times New Roman" w:hAnsi="Times New Roman"/>
                    </w:rPr>
                    <w:t>2.08E-01</w:t>
                  </w:r>
                </w:p>
              </w:tc>
              <w:tc>
                <w:tcPr>
                  <w:tcW w:w="589" w:type="pct"/>
                  <w:vAlign w:val="center"/>
                </w:tcPr>
                <w:p>
                  <w:pPr>
                    <w:jc w:val="center"/>
                    <w:rPr>
                      <w:rFonts w:ascii="Times New Roman" w:hAnsi="Times New Roman"/>
                    </w:rPr>
                  </w:pPr>
                  <w:r>
                    <w:rPr>
                      <w:rFonts w:hint="eastAsia" w:ascii="Times New Roman" w:hAnsi="Times New Roman"/>
                    </w:rPr>
                    <w:t>10.41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525</w:t>
                  </w:r>
                </w:p>
              </w:tc>
              <w:tc>
                <w:tcPr>
                  <w:tcW w:w="1029" w:type="pct"/>
                  <w:vAlign w:val="center"/>
                </w:tcPr>
                <w:p>
                  <w:pPr>
                    <w:jc w:val="center"/>
                    <w:rPr>
                      <w:rFonts w:ascii="Times New Roman" w:hAnsi="Times New Roman"/>
                    </w:rPr>
                  </w:pPr>
                  <w:r>
                    <w:rPr>
                      <w:rFonts w:hint="eastAsia" w:ascii="Times New Roman" w:hAnsi="Times New Roman"/>
                    </w:rPr>
                    <w:t>2.28E-02</w:t>
                  </w:r>
                </w:p>
              </w:tc>
              <w:tc>
                <w:tcPr>
                  <w:tcW w:w="589" w:type="pct"/>
                  <w:vAlign w:val="center"/>
                </w:tcPr>
                <w:p>
                  <w:pPr>
                    <w:jc w:val="center"/>
                    <w:rPr>
                      <w:rFonts w:ascii="Times New Roman" w:hAnsi="Times New Roman"/>
                    </w:rPr>
                  </w:pPr>
                  <w:r>
                    <w:rPr>
                      <w:rFonts w:hint="eastAsia" w:ascii="Times New Roman" w:hAnsi="Times New Roman"/>
                    </w:rPr>
                    <w:t>1.14</w:t>
                  </w:r>
                </w:p>
              </w:tc>
              <w:tc>
                <w:tcPr>
                  <w:tcW w:w="882" w:type="pct"/>
                  <w:vAlign w:val="center"/>
                </w:tcPr>
                <w:p>
                  <w:pPr>
                    <w:jc w:val="center"/>
                    <w:rPr>
                      <w:rFonts w:ascii="Times New Roman" w:hAnsi="Times New Roman"/>
                    </w:rPr>
                  </w:pPr>
                  <w:r>
                    <w:rPr>
                      <w:rFonts w:hint="eastAsia" w:ascii="Times New Roman" w:hAnsi="Times New Roman"/>
                    </w:rPr>
                    <w:t>525</w:t>
                  </w:r>
                </w:p>
              </w:tc>
              <w:tc>
                <w:tcPr>
                  <w:tcW w:w="1029" w:type="pct"/>
                  <w:vAlign w:val="center"/>
                </w:tcPr>
                <w:p>
                  <w:pPr>
                    <w:jc w:val="center"/>
                    <w:rPr>
                      <w:rFonts w:ascii="Times New Roman" w:hAnsi="Times New Roman"/>
                    </w:rPr>
                  </w:pPr>
                  <w:r>
                    <w:rPr>
                      <w:rFonts w:hint="eastAsia" w:ascii="Times New Roman" w:hAnsi="Times New Roman"/>
                    </w:rPr>
                    <w:t>1.98E-01</w:t>
                  </w:r>
                </w:p>
              </w:tc>
              <w:tc>
                <w:tcPr>
                  <w:tcW w:w="589" w:type="pct"/>
                  <w:vAlign w:val="center"/>
                </w:tcPr>
                <w:p>
                  <w:pPr>
                    <w:jc w:val="center"/>
                    <w:rPr>
                      <w:rFonts w:ascii="Times New Roman" w:hAnsi="Times New Roman"/>
                    </w:rPr>
                  </w:pPr>
                  <w:r>
                    <w:rPr>
                      <w:rFonts w:hint="eastAsia" w:ascii="Times New Roman" w:hAnsi="Times New Roman"/>
                    </w:rPr>
                    <w:t>9.91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550</w:t>
                  </w:r>
                </w:p>
              </w:tc>
              <w:tc>
                <w:tcPr>
                  <w:tcW w:w="1029" w:type="pct"/>
                  <w:vAlign w:val="center"/>
                </w:tcPr>
                <w:p>
                  <w:pPr>
                    <w:jc w:val="center"/>
                    <w:rPr>
                      <w:rFonts w:ascii="Times New Roman" w:hAnsi="Times New Roman"/>
                    </w:rPr>
                  </w:pPr>
                  <w:r>
                    <w:rPr>
                      <w:rFonts w:hint="eastAsia" w:ascii="Times New Roman" w:hAnsi="Times New Roman"/>
                    </w:rPr>
                    <w:t>2.17E-02</w:t>
                  </w:r>
                </w:p>
              </w:tc>
              <w:tc>
                <w:tcPr>
                  <w:tcW w:w="589" w:type="pct"/>
                  <w:vAlign w:val="center"/>
                </w:tcPr>
                <w:p>
                  <w:pPr>
                    <w:jc w:val="center"/>
                    <w:rPr>
                      <w:rFonts w:ascii="Times New Roman" w:hAnsi="Times New Roman"/>
                    </w:rPr>
                  </w:pPr>
                  <w:r>
                    <w:rPr>
                      <w:rFonts w:hint="eastAsia" w:ascii="Times New Roman" w:hAnsi="Times New Roman"/>
                    </w:rPr>
                    <w:t>1.09</w:t>
                  </w:r>
                </w:p>
              </w:tc>
              <w:tc>
                <w:tcPr>
                  <w:tcW w:w="882" w:type="pct"/>
                  <w:vAlign w:val="center"/>
                </w:tcPr>
                <w:p>
                  <w:pPr>
                    <w:jc w:val="center"/>
                    <w:rPr>
                      <w:rFonts w:ascii="Times New Roman" w:hAnsi="Times New Roman"/>
                    </w:rPr>
                  </w:pPr>
                  <w:r>
                    <w:rPr>
                      <w:rFonts w:hint="eastAsia" w:ascii="Times New Roman" w:hAnsi="Times New Roman"/>
                    </w:rPr>
                    <w:t>550</w:t>
                  </w:r>
                </w:p>
              </w:tc>
              <w:tc>
                <w:tcPr>
                  <w:tcW w:w="1029" w:type="pct"/>
                  <w:vAlign w:val="center"/>
                </w:tcPr>
                <w:p>
                  <w:pPr>
                    <w:jc w:val="center"/>
                    <w:rPr>
                      <w:rFonts w:ascii="Times New Roman" w:hAnsi="Times New Roman"/>
                    </w:rPr>
                  </w:pPr>
                  <w:r>
                    <w:rPr>
                      <w:rFonts w:hint="eastAsia" w:ascii="Times New Roman" w:hAnsi="Times New Roman"/>
                    </w:rPr>
                    <w:t>1.89E-01</w:t>
                  </w:r>
                </w:p>
              </w:tc>
              <w:tc>
                <w:tcPr>
                  <w:tcW w:w="589" w:type="pct"/>
                  <w:vAlign w:val="center"/>
                </w:tcPr>
                <w:p>
                  <w:pPr>
                    <w:jc w:val="center"/>
                    <w:rPr>
                      <w:rFonts w:ascii="Times New Roman" w:hAnsi="Times New Roman"/>
                    </w:rPr>
                  </w:pPr>
                  <w:r>
                    <w:rPr>
                      <w:rFonts w:hint="eastAsia" w:ascii="Times New Roman" w:hAnsi="Times New Roman"/>
                    </w:rPr>
                    <w:t>9.44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575</w:t>
                  </w:r>
                </w:p>
              </w:tc>
              <w:tc>
                <w:tcPr>
                  <w:tcW w:w="1029" w:type="pct"/>
                  <w:vAlign w:val="center"/>
                </w:tcPr>
                <w:p>
                  <w:pPr>
                    <w:jc w:val="center"/>
                    <w:rPr>
                      <w:rFonts w:ascii="Times New Roman" w:hAnsi="Times New Roman"/>
                    </w:rPr>
                  </w:pPr>
                  <w:r>
                    <w:rPr>
                      <w:rFonts w:hint="eastAsia" w:ascii="Times New Roman" w:hAnsi="Times New Roman"/>
                    </w:rPr>
                    <w:t>2.07E-02</w:t>
                  </w:r>
                </w:p>
              </w:tc>
              <w:tc>
                <w:tcPr>
                  <w:tcW w:w="589" w:type="pct"/>
                  <w:vAlign w:val="center"/>
                </w:tcPr>
                <w:p>
                  <w:pPr>
                    <w:jc w:val="center"/>
                    <w:rPr>
                      <w:rFonts w:ascii="Times New Roman" w:hAnsi="Times New Roman"/>
                    </w:rPr>
                  </w:pPr>
                  <w:r>
                    <w:rPr>
                      <w:rFonts w:hint="eastAsia" w:ascii="Times New Roman" w:hAnsi="Times New Roman"/>
                    </w:rPr>
                    <w:t>1.04</w:t>
                  </w:r>
                </w:p>
              </w:tc>
              <w:tc>
                <w:tcPr>
                  <w:tcW w:w="882" w:type="pct"/>
                  <w:vAlign w:val="center"/>
                </w:tcPr>
                <w:p>
                  <w:pPr>
                    <w:jc w:val="center"/>
                    <w:rPr>
                      <w:rFonts w:ascii="Times New Roman" w:hAnsi="Times New Roman"/>
                    </w:rPr>
                  </w:pPr>
                  <w:r>
                    <w:rPr>
                      <w:rFonts w:hint="eastAsia" w:ascii="Times New Roman" w:hAnsi="Times New Roman"/>
                    </w:rPr>
                    <w:t>575</w:t>
                  </w:r>
                </w:p>
              </w:tc>
              <w:tc>
                <w:tcPr>
                  <w:tcW w:w="1029" w:type="pct"/>
                  <w:vAlign w:val="center"/>
                </w:tcPr>
                <w:p>
                  <w:pPr>
                    <w:jc w:val="center"/>
                    <w:rPr>
                      <w:rFonts w:ascii="Times New Roman" w:hAnsi="Times New Roman"/>
                    </w:rPr>
                  </w:pPr>
                  <w:r>
                    <w:rPr>
                      <w:rFonts w:hint="eastAsia" w:ascii="Times New Roman" w:hAnsi="Times New Roman"/>
                    </w:rPr>
                    <w:t>1.80E-01</w:t>
                  </w:r>
                </w:p>
              </w:tc>
              <w:tc>
                <w:tcPr>
                  <w:tcW w:w="589" w:type="pct"/>
                  <w:vAlign w:val="center"/>
                </w:tcPr>
                <w:p>
                  <w:pPr>
                    <w:jc w:val="center"/>
                    <w:rPr>
                      <w:rFonts w:ascii="Times New Roman" w:hAnsi="Times New Roman"/>
                    </w:rPr>
                  </w:pPr>
                  <w:r>
                    <w:rPr>
                      <w:rFonts w:hint="eastAsia" w:ascii="Times New Roman" w:hAnsi="Times New Roman"/>
                    </w:rPr>
                    <w:t>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600</w:t>
                  </w:r>
                </w:p>
              </w:tc>
              <w:tc>
                <w:tcPr>
                  <w:tcW w:w="1029" w:type="pct"/>
                  <w:vAlign w:val="center"/>
                </w:tcPr>
                <w:p>
                  <w:pPr>
                    <w:jc w:val="center"/>
                    <w:rPr>
                      <w:rFonts w:ascii="Times New Roman" w:hAnsi="Times New Roman"/>
                    </w:rPr>
                  </w:pPr>
                  <w:r>
                    <w:rPr>
                      <w:rFonts w:hint="eastAsia" w:ascii="Times New Roman" w:hAnsi="Times New Roman"/>
                    </w:rPr>
                    <w:t>1.98E-02</w:t>
                  </w:r>
                </w:p>
              </w:tc>
              <w:tc>
                <w:tcPr>
                  <w:tcW w:w="589" w:type="pct"/>
                  <w:vAlign w:val="center"/>
                </w:tcPr>
                <w:p>
                  <w:pPr>
                    <w:jc w:val="center"/>
                    <w:rPr>
                      <w:rFonts w:ascii="Times New Roman" w:hAnsi="Times New Roman"/>
                    </w:rPr>
                  </w:pPr>
                  <w:r>
                    <w:rPr>
                      <w:rFonts w:hint="eastAsia" w:ascii="Times New Roman" w:hAnsi="Times New Roman"/>
                    </w:rPr>
                    <w:t>0.99</w:t>
                  </w:r>
                </w:p>
              </w:tc>
              <w:tc>
                <w:tcPr>
                  <w:tcW w:w="882" w:type="pct"/>
                  <w:vAlign w:val="center"/>
                </w:tcPr>
                <w:p>
                  <w:pPr>
                    <w:jc w:val="center"/>
                    <w:rPr>
                      <w:rFonts w:ascii="Times New Roman" w:hAnsi="Times New Roman"/>
                    </w:rPr>
                  </w:pPr>
                  <w:r>
                    <w:rPr>
                      <w:rFonts w:hint="eastAsia" w:ascii="Times New Roman" w:hAnsi="Times New Roman"/>
                    </w:rPr>
                    <w:t>600</w:t>
                  </w:r>
                </w:p>
              </w:tc>
              <w:tc>
                <w:tcPr>
                  <w:tcW w:w="1029" w:type="pct"/>
                  <w:vAlign w:val="center"/>
                </w:tcPr>
                <w:p>
                  <w:pPr>
                    <w:jc w:val="center"/>
                    <w:rPr>
                      <w:rFonts w:ascii="Times New Roman" w:hAnsi="Times New Roman"/>
                    </w:rPr>
                  </w:pPr>
                  <w:r>
                    <w:rPr>
                      <w:rFonts w:hint="eastAsia" w:ascii="Times New Roman" w:hAnsi="Times New Roman"/>
                    </w:rPr>
                    <w:t>1.72E-01</w:t>
                  </w:r>
                </w:p>
              </w:tc>
              <w:tc>
                <w:tcPr>
                  <w:tcW w:w="589" w:type="pct"/>
                  <w:vAlign w:val="center"/>
                </w:tcPr>
                <w:p>
                  <w:pPr>
                    <w:jc w:val="center"/>
                    <w:rPr>
                      <w:rFonts w:ascii="Times New Roman" w:hAnsi="Times New Roman"/>
                    </w:rPr>
                  </w:pPr>
                  <w:r>
                    <w:rPr>
                      <w:rFonts w:hint="eastAsia" w:ascii="Times New Roman" w:hAnsi="Times New Roman"/>
                    </w:rPr>
                    <w:t>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625</w:t>
                  </w:r>
                </w:p>
              </w:tc>
              <w:tc>
                <w:tcPr>
                  <w:tcW w:w="1029" w:type="pct"/>
                  <w:vAlign w:val="center"/>
                </w:tcPr>
                <w:p>
                  <w:pPr>
                    <w:jc w:val="center"/>
                    <w:rPr>
                      <w:rFonts w:ascii="Times New Roman" w:hAnsi="Times New Roman"/>
                    </w:rPr>
                  </w:pPr>
                  <w:r>
                    <w:rPr>
                      <w:rFonts w:hint="eastAsia" w:ascii="Times New Roman" w:hAnsi="Times New Roman"/>
                    </w:rPr>
                    <w:t>1.90E-02</w:t>
                  </w:r>
                </w:p>
              </w:tc>
              <w:tc>
                <w:tcPr>
                  <w:tcW w:w="589" w:type="pct"/>
                  <w:vAlign w:val="center"/>
                </w:tcPr>
                <w:p>
                  <w:pPr>
                    <w:jc w:val="center"/>
                    <w:rPr>
                      <w:rFonts w:ascii="Times New Roman" w:hAnsi="Times New Roman"/>
                    </w:rPr>
                  </w:pPr>
                  <w:r>
                    <w:rPr>
                      <w:rFonts w:hint="eastAsia" w:ascii="Times New Roman" w:hAnsi="Times New Roman"/>
                    </w:rPr>
                    <w:t>0.95</w:t>
                  </w:r>
                </w:p>
              </w:tc>
              <w:tc>
                <w:tcPr>
                  <w:tcW w:w="882" w:type="pct"/>
                  <w:vAlign w:val="center"/>
                </w:tcPr>
                <w:p>
                  <w:pPr>
                    <w:jc w:val="center"/>
                    <w:rPr>
                      <w:rFonts w:ascii="Times New Roman" w:hAnsi="Times New Roman"/>
                    </w:rPr>
                  </w:pPr>
                  <w:r>
                    <w:rPr>
                      <w:rFonts w:hint="eastAsia" w:ascii="Times New Roman" w:hAnsi="Times New Roman"/>
                    </w:rPr>
                    <w:t>625</w:t>
                  </w:r>
                </w:p>
              </w:tc>
              <w:tc>
                <w:tcPr>
                  <w:tcW w:w="1029" w:type="pct"/>
                  <w:vAlign w:val="center"/>
                </w:tcPr>
                <w:p>
                  <w:pPr>
                    <w:jc w:val="center"/>
                    <w:rPr>
                      <w:rFonts w:ascii="Times New Roman" w:hAnsi="Times New Roman"/>
                    </w:rPr>
                  </w:pPr>
                  <w:r>
                    <w:rPr>
                      <w:rFonts w:hint="eastAsia" w:ascii="Times New Roman" w:hAnsi="Times New Roman"/>
                    </w:rPr>
                    <w:t>1.65E-01</w:t>
                  </w:r>
                </w:p>
              </w:tc>
              <w:tc>
                <w:tcPr>
                  <w:tcW w:w="589" w:type="pct"/>
                  <w:vAlign w:val="center"/>
                </w:tcPr>
                <w:p>
                  <w:pPr>
                    <w:jc w:val="center"/>
                    <w:rPr>
                      <w:rFonts w:ascii="Times New Roman" w:hAnsi="Times New Roman"/>
                    </w:rPr>
                  </w:pPr>
                  <w:r>
                    <w:rPr>
                      <w:rFonts w:hint="eastAsia" w:ascii="Times New Roman" w:hAnsi="Times New Roman"/>
                    </w:rPr>
                    <w:t>8.23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650</w:t>
                  </w:r>
                </w:p>
              </w:tc>
              <w:tc>
                <w:tcPr>
                  <w:tcW w:w="1029" w:type="pct"/>
                  <w:vAlign w:val="center"/>
                </w:tcPr>
                <w:p>
                  <w:pPr>
                    <w:jc w:val="center"/>
                    <w:rPr>
                      <w:rFonts w:ascii="Times New Roman" w:hAnsi="Times New Roman"/>
                    </w:rPr>
                  </w:pPr>
                  <w:r>
                    <w:rPr>
                      <w:rFonts w:hint="eastAsia" w:ascii="Times New Roman" w:hAnsi="Times New Roman"/>
                    </w:rPr>
                    <w:t>1.82E-02</w:t>
                  </w:r>
                </w:p>
              </w:tc>
              <w:tc>
                <w:tcPr>
                  <w:tcW w:w="589" w:type="pct"/>
                  <w:vAlign w:val="center"/>
                </w:tcPr>
                <w:p>
                  <w:pPr>
                    <w:jc w:val="center"/>
                    <w:rPr>
                      <w:rFonts w:ascii="Times New Roman" w:hAnsi="Times New Roman"/>
                    </w:rPr>
                  </w:pPr>
                  <w:r>
                    <w:rPr>
                      <w:rFonts w:hint="eastAsia" w:ascii="Times New Roman" w:hAnsi="Times New Roman"/>
                    </w:rPr>
                    <w:t>0.91</w:t>
                  </w:r>
                </w:p>
              </w:tc>
              <w:tc>
                <w:tcPr>
                  <w:tcW w:w="882" w:type="pct"/>
                  <w:vAlign w:val="center"/>
                </w:tcPr>
                <w:p>
                  <w:pPr>
                    <w:jc w:val="center"/>
                    <w:rPr>
                      <w:rFonts w:ascii="Times New Roman" w:hAnsi="Times New Roman"/>
                    </w:rPr>
                  </w:pPr>
                  <w:r>
                    <w:rPr>
                      <w:rFonts w:hint="eastAsia" w:ascii="Times New Roman" w:hAnsi="Times New Roman"/>
                    </w:rPr>
                    <w:t>650</w:t>
                  </w:r>
                </w:p>
              </w:tc>
              <w:tc>
                <w:tcPr>
                  <w:tcW w:w="1029" w:type="pct"/>
                  <w:vAlign w:val="center"/>
                </w:tcPr>
                <w:p>
                  <w:pPr>
                    <w:jc w:val="center"/>
                    <w:rPr>
                      <w:rFonts w:ascii="Times New Roman" w:hAnsi="Times New Roman"/>
                    </w:rPr>
                  </w:pPr>
                  <w:r>
                    <w:rPr>
                      <w:rFonts w:hint="eastAsia" w:ascii="Times New Roman" w:hAnsi="Times New Roman"/>
                    </w:rPr>
                    <w:t>1.58E-01</w:t>
                  </w:r>
                </w:p>
              </w:tc>
              <w:tc>
                <w:tcPr>
                  <w:tcW w:w="589" w:type="pct"/>
                  <w:vAlign w:val="center"/>
                </w:tcPr>
                <w:p>
                  <w:pPr>
                    <w:jc w:val="center"/>
                    <w:rPr>
                      <w:rFonts w:ascii="Times New Roman" w:hAnsi="Times New Roman"/>
                    </w:rPr>
                  </w:pPr>
                  <w:r>
                    <w:rPr>
                      <w:rFonts w:hint="eastAsia" w:ascii="Times New Roman" w:hAnsi="Times New Roman"/>
                    </w:rPr>
                    <w:t>7.88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675</w:t>
                  </w:r>
                </w:p>
              </w:tc>
              <w:tc>
                <w:tcPr>
                  <w:tcW w:w="1029" w:type="pct"/>
                  <w:vAlign w:val="center"/>
                </w:tcPr>
                <w:p>
                  <w:pPr>
                    <w:jc w:val="center"/>
                    <w:rPr>
                      <w:rFonts w:ascii="Times New Roman" w:hAnsi="Times New Roman"/>
                    </w:rPr>
                  </w:pPr>
                  <w:r>
                    <w:rPr>
                      <w:rFonts w:hint="eastAsia" w:ascii="Times New Roman" w:hAnsi="Times New Roman"/>
                    </w:rPr>
                    <w:t>1.74E-02</w:t>
                  </w:r>
                </w:p>
              </w:tc>
              <w:tc>
                <w:tcPr>
                  <w:tcW w:w="589" w:type="pct"/>
                  <w:vAlign w:val="center"/>
                </w:tcPr>
                <w:p>
                  <w:pPr>
                    <w:jc w:val="center"/>
                    <w:rPr>
                      <w:rFonts w:ascii="Times New Roman" w:hAnsi="Times New Roman"/>
                    </w:rPr>
                  </w:pPr>
                  <w:r>
                    <w:rPr>
                      <w:rFonts w:hint="eastAsia" w:ascii="Times New Roman" w:hAnsi="Times New Roman"/>
                    </w:rPr>
                    <w:t>0.87</w:t>
                  </w:r>
                </w:p>
              </w:tc>
              <w:tc>
                <w:tcPr>
                  <w:tcW w:w="882" w:type="pct"/>
                  <w:vAlign w:val="center"/>
                </w:tcPr>
                <w:p>
                  <w:pPr>
                    <w:jc w:val="center"/>
                    <w:rPr>
                      <w:rFonts w:ascii="Times New Roman" w:hAnsi="Times New Roman"/>
                    </w:rPr>
                  </w:pPr>
                  <w:r>
                    <w:rPr>
                      <w:rFonts w:hint="eastAsia" w:ascii="Times New Roman" w:hAnsi="Times New Roman"/>
                    </w:rPr>
                    <w:t>675</w:t>
                  </w:r>
                </w:p>
              </w:tc>
              <w:tc>
                <w:tcPr>
                  <w:tcW w:w="1029" w:type="pct"/>
                  <w:vAlign w:val="center"/>
                </w:tcPr>
                <w:p>
                  <w:pPr>
                    <w:jc w:val="center"/>
                    <w:rPr>
                      <w:rFonts w:ascii="Times New Roman" w:hAnsi="Times New Roman"/>
                    </w:rPr>
                  </w:pPr>
                  <w:r>
                    <w:rPr>
                      <w:rFonts w:hint="eastAsia" w:ascii="Times New Roman" w:hAnsi="Times New Roman"/>
                    </w:rPr>
                    <w:t>1.51E-01</w:t>
                  </w:r>
                </w:p>
              </w:tc>
              <w:tc>
                <w:tcPr>
                  <w:tcW w:w="589" w:type="pct"/>
                  <w:vAlign w:val="center"/>
                </w:tcPr>
                <w:p>
                  <w:pPr>
                    <w:jc w:val="center"/>
                    <w:rPr>
                      <w:rFonts w:ascii="Times New Roman" w:hAnsi="Times New Roman"/>
                    </w:rPr>
                  </w:pPr>
                  <w:r>
                    <w:rPr>
                      <w:rFonts w:hint="eastAsia" w:ascii="Times New Roman" w:hAnsi="Times New Roman"/>
                    </w:rPr>
                    <w:t>7.56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700</w:t>
                  </w:r>
                </w:p>
              </w:tc>
              <w:tc>
                <w:tcPr>
                  <w:tcW w:w="1029" w:type="pct"/>
                  <w:vAlign w:val="center"/>
                </w:tcPr>
                <w:p>
                  <w:pPr>
                    <w:jc w:val="center"/>
                    <w:rPr>
                      <w:rFonts w:ascii="Times New Roman" w:hAnsi="Times New Roman"/>
                    </w:rPr>
                  </w:pPr>
                  <w:r>
                    <w:rPr>
                      <w:rFonts w:hint="eastAsia" w:ascii="Times New Roman" w:hAnsi="Times New Roman"/>
                    </w:rPr>
                    <w:t>1.67E-02</w:t>
                  </w:r>
                </w:p>
              </w:tc>
              <w:tc>
                <w:tcPr>
                  <w:tcW w:w="589" w:type="pct"/>
                  <w:vAlign w:val="center"/>
                </w:tcPr>
                <w:p>
                  <w:pPr>
                    <w:jc w:val="center"/>
                    <w:rPr>
                      <w:rFonts w:ascii="Times New Roman" w:hAnsi="Times New Roman"/>
                    </w:rPr>
                  </w:pPr>
                  <w:r>
                    <w:rPr>
                      <w:rFonts w:hint="eastAsia" w:ascii="Times New Roman" w:hAnsi="Times New Roman"/>
                    </w:rPr>
                    <w:t>0.84</w:t>
                  </w:r>
                </w:p>
              </w:tc>
              <w:tc>
                <w:tcPr>
                  <w:tcW w:w="882" w:type="pct"/>
                  <w:vAlign w:val="center"/>
                </w:tcPr>
                <w:p>
                  <w:pPr>
                    <w:jc w:val="center"/>
                    <w:rPr>
                      <w:rFonts w:ascii="Times New Roman" w:hAnsi="Times New Roman"/>
                    </w:rPr>
                  </w:pPr>
                  <w:r>
                    <w:rPr>
                      <w:rFonts w:hint="eastAsia" w:ascii="Times New Roman" w:hAnsi="Times New Roman"/>
                    </w:rPr>
                    <w:t>700</w:t>
                  </w:r>
                </w:p>
              </w:tc>
              <w:tc>
                <w:tcPr>
                  <w:tcW w:w="1029" w:type="pct"/>
                  <w:vAlign w:val="center"/>
                </w:tcPr>
                <w:p>
                  <w:pPr>
                    <w:jc w:val="center"/>
                    <w:rPr>
                      <w:rFonts w:ascii="Times New Roman" w:hAnsi="Times New Roman"/>
                    </w:rPr>
                  </w:pPr>
                  <w:r>
                    <w:rPr>
                      <w:rFonts w:hint="eastAsia" w:ascii="Times New Roman" w:hAnsi="Times New Roman"/>
                    </w:rPr>
                    <w:t>1.45E-01</w:t>
                  </w:r>
                </w:p>
              </w:tc>
              <w:tc>
                <w:tcPr>
                  <w:tcW w:w="589" w:type="pct"/>
                  <w:vAlign w:val="center"/>
                </w:tcPr>
                <w:p>
                  <w:pPr>
                    <w:jc w:val="center"/>
                    <w:rPr>
                      <w:rFonts w:ascii="Times New Roman" w:hAnsi="Times New Roman"/>
                    </w:rPr>
                  </w:pPr>
                  <w:r>
                    <w:rPr>
                      <w:rFonts w:hint="eastAsia" w:ascii="Times New Roman" w:hAnsi="Times New Roman"/>
                    </w:rPr>
                    <w:t>7.26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725</w:t>
                  </w:r>
                </w:p>
              </w:tc>
              <w:tc>
                <w:tcPr>
                  <w:tcW w:w="1029" w:type="pct"/>
                  <w:vAlign w:val="center"/>
                </w:tcPr>
                <w:p>
                  <w:pPr>
                    <w:jc w:val="center"/>
                    <w:rPr>
                      <w:rFonts w:ascii="Times New Roman" w:hAnsi="Times New Roman"/>
                    </w:rPr>
                  </w:pPr>
                  <w:r>
                    <w:rPr>
                      <w:rFonts w:hint="eastAsia" w:ascii="Times New Roman" w:hAnsi="Times New Roman"/>
                    </w:rPr>
                    <w:t>1.61E-02</w:t>
                  </w:r>
                </w:p>
              </w:tc>
              <w:tc>
                <w:tcPr>
                  <w:tcW w:w="589" w:type="pct"/>
                  <w:vAlign w:val="center"/>
                </w:tcPr>
                <w:p>
                  <w:pPr>
                    <w:jc w:val="center"/>
                    <w:rPr>
                      <w:rFonts w:ascii="Times New Roman" w:hAnsi="Times New Roman"/>
                    </w:rPr>
                  </w:pPr>
                  <w:r>
                    <w:rPr>
                      <w:rFonts w:hint="eastAsia" w:ascii="Times New Roman" w:hAnsi="Times New Roman"/>
                    </w:rPr>
                    <w:t>0.8</w:t>
                  </w:r>
                </w:p>
              </w:tc>
              <w:tc>
                <w:tcPr>
                  <w:tcW w:w="882" w:type="pct"/>
                  <w:vAlign w:val="center"/>
                </w:tcPr>
                <w:p>
                  <w:pPr>
                    <w:jc w:val="center"/>
                    <w:rPr>
                      <w:rFonts w:ascii="Times New Roman" w:hAnsi="Times New Roman"/>
                    </w:rPr>
                  </w:pPr>
                  <w:r>
                    <w:rPr>
                      <w:rFonts w:hint="eastAsia" w:ascii="Times New Roman" w:hAnsi="Times New Roman"/>
                    </w:rPr>
                    <w:t>725</w:t>
                  </w:r>
                </w:p>
              </w:tc>
              <w:tc>
                <w:tcPr>
                  <w:tcW w:w="1029" w:type="pct"/>
                  <w:vAlign w:val="center"/>
                </w:tcPr>
                <w:p>
                  <w:pPr>
                    <w:jc w:val="center"/>
                    <w:rPr>
                      <w:rFonts w:ascii="Times New Roman" w:hAnsi="Times New Roman"/>
                    </w:rPr>
                  </w:pPr>
                  <w:r>
                    <w:rPr>
                      <w:rFonts w:hint="eastAsia" w:ascii="Times New Roman" w:hAnsi="Times New Roman"/>
                    </w:rPr>
                    <w:t>1.40E-01</w:t>
                  </w:r>
                </w:p>
              </w:tc>
              <w:tc>
                <w:tcPr>
                  <w:tcW w:w="589" w:type="pct"/>
                  <w:vAlign w:val="center"/>
                </w:tcPr>
                <w:p>
                  <w:pPr>
                    <w:jc w:val="center"/>
                    <w:rPr>
                      <w:rFonts w:ascii="Times New Roman" w:hAnsi="Times New Roman"/>
                    </w:rPr>
                  </w:pPr>
                  <w:r>
                    <w:rPr>
                      <w:rFonts w:hint="eastAsia" w:ascii="Times New Roman" w:hAnsi="Times New Roman"/>
                    </w:rPr>
                    <w:t>6.98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750</w:t>
                  </w:r>
                </w:p>
              </w:tc>
              <w:tc>
                <w:tcPr>
                  <w:tcW w:w="1029" w:type="pct"/>
                  <w:vAlign w:val="center"/>
                </w:tcPr>
                <w:p>
                  <w:pPr>
                    <w:jc w:val="center"/>
                    <w:rPr>
                      <w:rFonts w:ascii="Times New Roman" w:hAnsi="Times New Roman"/>
                    </w:rPr>
                  </w:pPr>
                  <w:r>
                    <w:rPr>
                      <w:rFonts w:hint="eastAsia" w:ascii="Times New Roman" w:hAnsi="Times New Roman"/>
                    </w:rPr>
                    <w:t>1.55E-02</w:t>
                  </w:r>
                </w:p>
              </w:tc>
              <w:tc>
                <w:tcPr>
                  <w:tcW w:w="589" w:type="pct"/>
                  <w:vAlign w:val="center"/>
                </w:tcPr>
                <w:p>
                  <w:pPr>
                    <w:jc w:val="center"/>
                    <w:rPr>
                      <w:rFonts w:ascii="Times New Roman" w:hAnsi="Times New Roman"/>
                    </w:rPr>
                  </w:pPr>
                  <w:r>
                    <w:rPr>
                      <w:rFonts w:hint="eastAsia" w:ascii="Times New Roman" w:hAnsi="Times New Roman"/>
                    </w:rPr>
                    <w:t>0.77</w:t>
                  </w:r>
                </w:p>
              </w:tc>
              <w:tc>
                <w:tcPr>
                  <w:tcW w:w="882" w:type="pct"/>
                  <w:vAlign w:val="center"/>
                </w:tcPr>
                <w:p>
                  <w:pPr>
                    <w:jc w:val="center"/>
                    <w:rPr>
                      <w:rFonts w:ascii="Times New Roman" w:hAnsi="Times New Roman"/>
                    </w:rPr>
                  </w:pPr>
                  <w:r>
                    <w:rPr>
                      <w:rFonts w:hint="eastAsia" w:ascii="Times New Roman" w:hAnsi="Times New Roman"/>
                    </w:rPr>
                    <w:t>750</w:t>
                  </w:r>
                </w:p>
              </w:tc>
              <w:tc>
                <w:tcPr>
                  <w:tcW w:w="1029" w:type="pct"/>
                  <w:vAlign w:val="center"/>
                </w:tcPr>
                <w:p>
                  <w:pPr>
                    <w:jc w:val="center"/>
                    <w:rPr>
                      <w:rFonts w:ascii="Times New Roman" w:hAnsi="Times New Roman"/>
                    </w:rPr>
                  </w:pPr>
                  <w:r>
                    <w:rPr>
                      <w:rFonts w:hint="eastAsia" w:ascii="Times New Roman" w:hAnsi="Times New Roman"/>
                    </w:rPr>
                    <w:t>1.34E-01</w:t>
                  </w:r>
                </w:p>
              </w:tc>
              <w:tc>
                <w:tcPr>
                  <w:tcW w:w="589" w:type="pct"/>
                  <w:vAlign w:val="center"/>
                </w:tcPr>
                <w:p>
                  <w:pPr>
                    <w:jc w:val="center"/>
                    <w:rPr>
                      <w:rFonts w:ascii="Times New Roman" w:hAnsi="Times New Roman"/>
                    </w:rPr>
                  </w:pPr>
                  <w:r>
                    <w:rPr>
                      <w:rFonts w:hint="eastAsia" w:ascii="Times New Roman" w:hAnsi="Times New Roman"/>
                    </w:rPr>
                    <w:t>6.72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775</w:t>
                  </w:r>
                </w:p>
              </w:tc>
              <w:tc>
                <w:tcPr>
                  <w:tcW w:w="1029" w:type="pct"/>
                  <w:vAlign w:val="center"/>
                </w:tcPr>
                <w:p>
                  <w:pPr>
                    <w:jc w:val="center"/>
                    <w:rPr>
                      <w:rFonts w:ascii="Times New Roman" w:hAnsi="Times New Roman"/>
                    </w:rPr>
                  </w:pPr>
                  <w:r>
                    <w:rPr>
                      <w:rFonts w:hint="eastAsia" w:ascii="Times New Roman" w:hAnsi="Times New Roman"/>
                    </w:rPr>
                    <w:t>1.49E-02</w:t>
                  </w:r>
                </w:p>
              </w:tc>
              <w:tc>
                <w:tcPr>
                  <w:tcW w:w="589" w:type="pct"/>
                  <w:vAlign w:val="center"/>
                </w:tcPr>
                <w:p>
                  <w:pPr>
                    <w:jc w:val="center"/>
                    <w:rPr>
                      <w:rFonts w:ascii="Times New Roman" w:hAnsi="Times New Roman"/>
                    </w:rPr>
                  </w:pPr>
                  <w:r>
                    <w:rPr>
                      <w:rFonts w:hint="eastAsia" w:ascii="Times New Roman" w:hAnsi="Times New Roman"/>
                    </w:rPr>
                    <w:t>0.75</w:t>
                  </w:r>
                </w:p>
              </w:tc>
              <w:tc>
                <w:tcPr>
                  <w:tcW w:w="882" w:type="pct"/>
                  <w:vAlign w:val="center"/>
                </w:tcPr>
                <w:p>
                  <w:pPr>
                    <w:jc w:val="center"/>
                    <w:rPr>
                      <w:rFonts w:ascii="Times New Roman" w:hAnsi="Times New Roman"/>
                    </w:rPr>
                  </w:pPr>
                  <w:r>
                    <w:rPr>
                      <w:rFonts w:hint="eastAsia" w:ascii="Times New Roman" w:hAnsi="Times New Roman"/>
                    </w:rPr>
                    <w:t>775</w:t>
                  </w:r>
                </w:p>
              </w:tc>
              <w:tc>
                <w:tcPr>
                  <w:tcW w:w="1029" w:type="pct"/>
                  <w:vAlign w:val="center"/>
                </w:tcPr>
                <w:p>
                  <w:pPr>
                    <w:jc w:val="center"/>
                    <w:rPr>
                      <w:rFonts w:ascii="Times New Roman" w:hAnsi="Times New Roman"/>
                    </w:rPr>
                  </w:pPr>
                  <w:r>
                    <w:rPr>
                      <w:rFonts w:hint="eastAsia" w:ascii="Times New Roman" w:hAnsi="Times New Roman"/>
                    </w:rPr>
                    <w:t>1.29E-01</w:t>
                  </w:r>
                </w:p>
              </w:tc>
              <w:tc>
                <w:tcPr>
                  <w:tcW w:w="589" w:type="pct"/>
                  <w:vAlign w:val="center"/>
                </w:tcPr>
                <w:p>
                  <w:pPr>
                    <w:jc w:val="center"/>
                    <w:rPr>
                      <w:rFonts w:ascii="Times New Roman" w:hAnsi="Times New Roman"/>
                    </w:rPr>
                  </w:pPr>
                  <w:r>
                    <w:rPr>
                      <w:rFonts w:hint="eastAsia" w:ascii="Times New Roman" w:hAnsi="Times New Roman"/>
                    </w:rPr>
                    <w:t>6.47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800</w:t>
                  </w:r>
                </w:p>
              </w:tc>
              <w:tc>
                <w:tcPr>
                  <w:tcW w:w="1029" w:type="pct"/>
                  <w:vAlign w:val="center"/>
                </w:tcPr>
                <w:p>
                  <w:pPr>
                    <w:jc w:val="center"/>
                    <w:rPr>
                      <w:rFonts w:ascii="Times New Roman" w:hAnsi="Times New Roman"/>
                    </w:rPr>
                  </w:pPr>
                  <w:r>
                    <w:rPr>
                      <w:rFonts w:hint="eastAsia" w:ascii="Times New Roman" w:hAnsi="Times New Roman"/>
                    </w:rPr>
                    <w:t>1.44E-02</w:t>
                  </w:r>
                </w:p>
              </w:tc>
              <w:tc>
                <w:tcPr>
                  <w:tcW w:w="589" w:type="pct"/>
                  <w:vAlign w:val="center"/>
                </w:tcPr>
                <w:p>
                  <w:pPr>
                    <w:jc w:val="center"/>
                    <w:rPr>
                      <w:rFonts w:ascii="Times New Roman" w:hAnsi="Times New Roman"/>
                    </w:rPr>
                  </w:pPr>
                  <w:r>
                    <w:rPr>
                      <w:rFonts w:hint="eastAsia" w:ascii="Times New Roman" w:hAnsi="Times New Roman"/>
                    </w:rPr>
                    <w:t>0.72</w:t>
                  </w:r>
                </w:p>
              </w:tc>
              <w:tc>
                <w:tcPr>
                  <w:tcW w:w="882" w:type="pct"/>
                  <w:vAlign w:val="center"/>
                </w:tcPr>
                <w:p>
                  <w:pPr>
                    <w:jc w:val="center"/>
                    <w:rPr>
                      <w:rFonts w:ascii="Times New Roman" w:hAnsi="Times New Roman"/>
                    </w:rPr>
                  </w:pPr>
                  <w:r>
                    <w:rPr>
                      <w:rFonts w:hint="eastAsia" w:ascii="Times New Roman" w:hAnsi="Times New Roman"/>
                    </w:rPr>
                    <w:t>800</w:t>
                  </w:r>
                </w:p>
              </w:tc>
              <w:tc>
                <w:tcPr>
                  <w:tcW w:w="1029" w:type="pct"/>
                  <w:vAlign w:val="center"/>
                </w:tcPr>
                <w:p>
                  <w:pPr>
                    <w:jc w:val="center"/>
                    <w:rPr>
                      <w:rFonts w:ascii="Times New Roman" w:hAnsi="Times New Roman"/>
                    </w:rPr>
                  </w:pPr>
                  <w:r>
                    <w:rPr>
                      <w:rFonts w:hint="eastAsia" w:ascii="Times New Roman" w:hAnsi="Times New Roman"/>
                    </w:rPr>
                    <w:t>1.25E-01</w:t>
                  </w:r>
                </w:p>
              </w:tc>
              <w:tc>
                <w:tcPr>
                  <w:tcW w:w="589" w:type="pct"/>
                  <w:vAlign w:val="center"/>
                </w:tcPr>
                <w:p>
                  <w:pPr>
                    <w:jc w:val="center"/>
                    <w:rPr>
                      <w:rFonts w:ascii="Times New Roman" w:hAnsi="Times New Roman"/>
                    </w:rPr>
                  </w:pPr>
                  <w:r>
                    <w:rPr>
                      <w:rFonts w:hint="eastAsia" w:ascii="Times New Roman" w:hAnsi="Times New Roman"/>
                    </w:rPr>
                    <w:t>6.24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825</w:t>
                  </w:r>
                </w:p>
              </w:tc>
              <w:tc>
                <w:tcPr>
                  <w:tcW w:w="1029" w:type="pct"/>
                  <w:vAlign w:val="center"/>
                </w:tcPr>
                <w:p>
                  <w:pPr>
                    <w:jc w:val="center"/>
                    <w:rPr>
                      <w:rFonts w:ascii="Times New Roman" w:hAnsi="Times New Roman"/>
                    </w:rPr>
                  </w:pPr>
                  <w:r>
                    <w:rPr>
                      <w:rFonts w:hint="eastAsia" w:ascii="Times New Roman" w:hAnsi="Times New Roman"/>
                    </w:rPr>
                    <w:t>1.39E-02</w:t>
                  </w:r>
                </w:p>
              </w:tc>
              <w:tc>
                <w:tcPr>
                  <w:tcW w:w="589" w:type="pct"/>
                  <w:vAlign w:val="center"/>
                </w:tcPr>
                <w:p>
                  <w:pPr>
                    <w:jc w:val="center"/>
                    <w:rPr>
                      <w:rFonts w:ascii="Times New Roman" w:hAnsi="Times New Roman"/>
                    </w:rPr>
                  </w:pPr>
                  <w:r>
                    <w:rPr>
                      <w:rFonts w:hint="eastAsia" w:ascii="Times New Roman" w:hAnsi="Times New Roman"/>
                    </w:rPr>
                    <w:t>0.69</w:t>
                  </w:r>
                </w:p>
              </w:tc>
              <w:tc>
                <w:tcPr>
                  <w:tcW w:w="882" w:type="pct"/>
                  <w:vAlign w:val="center"/>
                </w:tcPr>
                <w:p>
                  <w:pPr>
                    <w:jc w:val="center"/>
                    <w:rPr>
                      <w:rFonts w:ascii="Times New Roman" w:hAnsi="Times New Roman"/>
                    </w:rPr>
                  </w:pPr>
                  <w:r>
                    <w:rPr>
                      <w:rFonts w:hint="eastAsia" w:ascii="Times New Roman" w:hAnsi="Times New Roman"/>
                    </w:rPr>
                    <w:t>825</w:t>
                  </w:r>
                </w:p>
              </w:tc>
              <w:tc>
                <w:tcPr>
                  <w:tcW w:w="1029" w:type="pct"/>
                  <w:vAlign w:val="center"/>
                </w:tcPr>
                <w:p>
                  <w:pPr>
                    <w:jc w:val="center"/>
                    <w:rPr>
                      <w:rFonts w:ascii="Times New Roman" w:hAnsi="Times New Roman"/>
                    </w:rPr>
                  </w:pPr>
                  <w:r>
                    <w:rPr>
                      <w:rFonts w:hint="eastAsia" w:ascii="Times New Roman" w:hAnsi="Times New Roman"/>
                    </w:rPr>
                    <w:t>1.20E-01</w:t>
                  </w:r>
                </w:p>
              </w:tc>
              <w:tc>
                <w:tcPr>
                  <w:tcW w:w="589" w:type="pct"/>
                  <w:vAlign w:val="center"/>
                </w:tcPr>
                <w:p>
                  <w:pPr>
                    <w:jc w:val="center"/>
                    <w:rPr>
                      <w:rFonts w:ascii="Times New Roman" w:hAnsi="Times New Roman"/>
                    </w:rPr>
                  </w:pPr>
                  <w:r>
                    <w:rPr>
                      <w:rFonts w:hint="eastAsia" w:ascii="Times New Roman" w:hAnsi="Times New Roman"/>
                    </w:rPr>
                    <w:t>6.02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850</w:t>
                  </w:r>
                </w:p>
              </w:tc>
              <w:tc>
                <w:tcPr>
                  <w:tcW w:w="1029" w:type="pct"/>
                  <w:vAlign w:val="center"/>
                </w:tcPr>
                <w:p>
                  <w:pPr>
                    <w:jc w:val="center"/>
                    <w:rPr>
                      <w:rFonts w:ascii="Times New Roman" w:hAnsi="Times New Roman"/>
                    </w:rPr>
                  </w:pPr>
                  <w:r>
                    <w:rPr>
                      <w:rFonts w:hint="eastAsia" w:ascii="Times New Roman" w:hAnsi="Times New Roman"/>
                    </w:rPr>
                    <w:t>1.35E-02</w:t>
                  </w:r>
                </w:p>
              </w:tc>
              <w:tc>
                <w:tcPr>
                  <w:tcW w:w="589" w:type="pct"/>
                  <w:vAlign w:val="center"/>
                </w:tcPr>
                <w:p>
                  <w:pPr>
                    <w:jc w:val="center"/>
                    <w:rPr>
                      <w:rFonts w:ascii="Times New Roman" w:hAnsi="Times New Roman"/>
                    </w:rPr>
                  </w:pPr>
                  <w:r>
                    <w:rPr>
                      <w:rFonts w:hint="eastAsia" w:ascii="Times New Roman" w:hAnsi="Times New Roman"/>
                    </w:rPr>
                    <w:t>0.67</w:t>
                  </w:r>
                </w:p>
              </w:tc>
              <w:tc>
                <w:tcPr>
                  <w:tcW w:w="882" w:type="pct"/>
                  <w:vAlign w:val="center"/>
                </w:tcPr>
                <w:p>
                  <w:pPr>
                    <w:jc w:val="center"/>
                    <w:rPr>
                      <w:rFonts w:ascii="Times New Roman" w:hAnsi="Times New Roman"/>
                    </w:rPr>
                  </w:pPr>
                  <w:r>
                    <w:rPr>
                      <w:rFonts w:hint="eastAsia" w:ascii="Times New Roman" w:hAnsi="Times New Roman"/>
                    </w:rPr>
                    <w:t>850</w:t>
                  </w:r>
                </w:p>
              </w:tc>
              <w:tc>
                <w:tcPr>
                  <w:tcW w:w="1029" w:type="pct"/>
                  <w:vAlign w:val="center"/>
                </w:tcPr>
                <w:p>
                  <w:pPr>
                    <w:jc w:val="center"/>
                    <w:rPr>
                      <w:rFonts w:ascii="Times New Roman" w:hAnsi="Times New Roman"/>
                    </w:rPr>
                  </w:pPr>
                  <w:r>
                    <w:rPr>
                      <w:rFonts w:hint="eastAsia" w:ascii="Times New Roman" w:hAnsi="Times New Roman"/>
                    </w:rPr>
                    <w:t>1.17E-01</w:t>
                  </w:r>
                </w:p>
              </w:tc>
              <w:tc>
                <w:tcPr>
                  <w:tcW w:w="589" w:type="pct"/>
                  <w:vAlign w:val="center"/>
                </w:tcPr>
                <w:p>
                  <w:pPr>
                    <w:jc w:val="center"/>
                    <w:rPr>
                      <w:rFonts w:ascii="Times New Roman" w:hAnsi="Times New Roman"/>
                    </w:rPr>
                  </w:pPr>
                  <w:r>
                    <w:rPr>
                      <w:rFonts w:hint="eastAsia" w:ascii="Times New Roman" w:hAnsi="Times New Roman"/>
                    </w:rPr>
                    <w:t>5.84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875</w:t>
                  </w:r>
                </w:p>
              </w:tc>
              <w:tc>
                <w:tcPr>
                  <w:tcW w:w="1029" w:type="pct"/>
                  <w:vAlign w:val="center"/>
                </w:tcPr>
                <w:p>
                  <w:pPr>
                    <w:jc w:val="center"/>
                    <w:rPr>
                      <w:rFonts w:ascii="Times New Roman" w:hAnsi="Times New Roman"/>
                    </w:rPr>
                  </w:pPr>
                  <w:r>
                    <w:rPr>
                      <w:rFonts w:hint="eastAsia" w:ascii="Times New Roman" w:hAnsi="Times New Roman"/>
                    </w:rPr>
                    <w:t>1.30E-02</w:t>
                  </w:r>
                </w:p>
              </w:tc>
              <w:tc>
                <w:tcPr>
                  <w:tcW w:w="589" w:type="pct"/>
                  <w:vAlign w:val="center"/>
                </w:tcPr>
                <w:p>
                  <w:pPr>
                    <w:jc w:val="center"/>
                    <w:rPr>
                      <w:rFonts w:ascii="Times New Roman" w:hAnsi="Times New Roman"/>
                    </w:rPr>
                  </w:pPr>
                  <w:r>
                    <w:rPr>
                      <w:rFonts w:hint="eastAsia" w:ascii="Times New Roman" w:hAnsi="Times New Roman"/>
                    </w:rPr>
                    <w:t>0.65</w:t>
                  </w:r>
                </w:p>
              </w:tc>
              <w:tc>
                <w:tcPr>
                  <w:tcW w:w="882" w:type="pct"/>
                  <w:vAlign w:val="center"/>
                </w:tcPr>
                <w:p>
                  <w:pPr>
                    <w:jc w:val="center"/>
                    <w:rPr>
                      <w:rFonts w:ascii="Times New Roman" w:hAnsi="Times New Roman"/>
                    </w:rPr>
                  </w:pPr>
                  <w:r>
                    <w:rPr>
                      <w:rFonts w:hint="eastAsia" w:ascii="Times New Roman" w:hAnsi="Times New Roman"/>
                    </w:rPr>
                    <w:t>875</w:t>
                  </w:r>
                </w:p>
              </w:tc>
              <w:tc>
                <w:tcPr>
                  <w:tcW w:w="1029" w:type="pct"/>
                  <w:vAlign w:val="center"/>
                </w:tcPr>
                <w:p>
                  <w:pPr>
                    <w:jc w:val="center"/>
                    <w:rPr>
                      <w:rFonts w:ascii="Times New Roman" w:hAnsi="Times New Roman"/>
                    </w:rPr>
                  </w:pPr>
                  <w:r>
                    <w:rPr>
                      <w:rFonts w:hint="eastAsia" w:ascii="Times New Roman" w:hAnsi="Times New Roman"/>
                    </w:rPr>
                    <w:t>1.13E-01</w:t>
                  </w:r>
                </w:p>
              </w:tc>
              <w:tc>
                <w:tcPr>
                  <w:tcW w:w="589" w:type="pct"/>
                  <w:vAlign w:val="center"/>
                </w:tcPr>
                <w:p>
                  <w:pPr>
                    <w:jc w:val="center"/>
                    <w:rPr>
                      <w:rFonts w:ascii="Times New Roman" w:hAnsi="Times New Roman"/>
                    </w:rPr>
                  </w:pPr>
                  <w:r>
                    <w:rPr>
                      <w:rFonts w:hint="eastAsia" w:ascii="Times New Roman" w:hAnsi="Times New Roman"/>
                    </w:rPr>
                    <w:t>5.65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900</w:t>
                  </w:r>
                </w:p>
              </w:tc>
              <w:tc>
                <w:tcPr>
                  <w:tcW w:w="1029" w:type="pct"/>
                  <w:vAlign w:val="center"/>
                </w:tcPr>
                <w:p>
                  <w:pPr>
                    <w:jc w:val="center"/>
                    <w:rPr>
                      <w:rFonts w:ascii="Times New Roman" w:hAnsi="Times New Roman"/>
                    </w:rPr>
                  </w:pPr>
                  <w:r>
                    <w:rPr>
                      <w:rFonts w:hint="eastAsia" w:ascii="Times New Roman" w:hAnsi="Times New Roman"/>
                    </w:rPr>
                    <w:t>1.26E-02</w:t>
                  </w:r>
                </w:p>
              </w:tc>
              <w:tc>
                <w:tcPr>
                  <w:tcW w:w="589" w:type="pct"/>
                  <w:vAlign w:val="center"/>
                </w:tcPr>
                <w:p>
                  <w:pPr>
                    <w:jc w:val="center"/>
                    <w:rPr>
                      <w:rFonts w:ascii="Times New Roman" w:hAnsi="Times New Roman"/>
                    </w:rPr>
                  </w:pPr>
                  <w:r>
                    <w:rPr>
                      <w:rFonts w:hint="eastAsia" w:ascii="Times New Roman" w:hAnsi="Times New Roman"/>
                    </w:rPr>
                    <w:t>0.63</w:t>
                  </w:r>
                </w:p>
              </w:tc>
              <w:tc>
                <w:tcPr>
                  <w:tcW w:w="882" w:type="pct"/>
                  <w:vAlign w:val="center"/>
                </w:tcPr>
                <w:p>
                  <w:pPr>
                    <w:jc w:val="center"/>
                    <w:rPr>
                      <w:rFonts w:ascii="Times New Roman" w:hAnsi="Times New Roman"/>
                    </w:rPr>
                  </w:pPr>
                  <w:r>
                    <w:rPr>
                      <w:rFonts w:hint="eastAsia" w:ascii="Times New Roman" w:hAnsi="Times New Roman"/>
                    </w:rPr>
                    <w:t>900</w:t>
                  </w:r>
                </w:p>
              </w:tc>
              <w:tc>
                <w:tcPr>
                  <w:tcW w:w="1029" w:type="pct"/>
                  <w:vAlign w:val="center"/>
                </w:tcPr>
                <w:p>
                  <w:pPr>
                    <w:jc w:val="center"/>
                    <w:rPr>
                      <w:rFonts w:ascii="Times New Roman" w:hAnsi="Times New Roman"/>
                    </w:rPr>
                  </w:pPr>
                  <w:r>
                    <w:rPr>
                      <w:rFonts w:hint="eastAsia" w:ascii="Times New Roman" w:hAnsi="Times New Roman"/>
                    </w:rPr>
                    <w:t>1.09E-01</w:t>
                  </w:r>
                </w:p>
              </w:tc>
              <w:tc>
                <w:tcPr>
                  <w:tcW w:w="589" w:type="pct"/>
                  <w:vAlign w:val="center"/>
                </w:tcPr>
                <w:p>
                  <w:pPr>
                    <w:jc w:val="center"/>
                    <w:rPr>
                      <w:rFonts w:ascii="Times New Roman" w:hAnsi="Times New Roman"/>
                    </w:rPr>
                  </w:pPr>
                  <w:r>
                    <w:rPr>
                      <w:rFonts w:hint="eastAsia" w:ascii="Times New Roman" w:hAnsi="Times New Roman"/>
                    </w:rPr>
                    <w:t>5.47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925</w:t>
                  </w:r>
                </w:p>
              </w:tc>
              <w:tc>
                <w:tcPr>
                  <w:tcW w:w="1029" w:type="pct"/>
                  <w:vAlign w:val="center"/>
                </w:tcPr>
                <w:p>
                  <w:pPr>
                    <w:jc w:val="center"/>
                    <w:rPr>
                      <w:rFonts w:ascii="Times New Roman" w:hAnsi="Times New Roman"/>
                    </w:rPr>
                  </w:pPr>
                  <w:r>
                    <w:rPr>
                      <w:rFonts w:hint="eastAsia" w:ascii="Times New Roman" w:hAnsi="Times New Roman"/>
                    </w:rPr>
                    <w:t>1.22E-02</w:t>
                  </w:r>
                </w:p>
              </w:tc>
              <w:tc>
                <w:tcPr>
                  <w:tcW w:w="589" w:type="pct"/>
                  <w:vAlign w:val="center"/>
                </w:tcPr>
                <w:p>
                  <w:pPr>
                    <w:jc w:val="center"/>
                    <w:rPr>
                      <w:rFonts w:ascii="Times New Roman" w:hAnsi="Times New Roman"/>
                    </w:rPr>
                  </w:pPr>
                  <w:r>
                    <w:rPr>
                      <w:rFonts w:hint="eastAsia" w:ascii="Times New Roman" w:hAnsi="Times New Roman"/>
                    </w:rPr>
                    <w:t>0.61</w:t>
                  </w:r>
                </w:p>
              </w:tc>
              <w:tc>
                <w:tcPr>
                  <w:tcW w:w="882" w:type="pct"/>
                  <w:vAlign w:val="center"/>
                </w:tcPr>
                <w:p>
                  <w:pPr>
                    <w:jc w:val="center"/>
                    <w:rPr>
                      <w:rFonts w:ascii="Times New Roman" w:hAnsi="Times New Roman"/>
                    </w:rPr>
                  </w:pPr>
                  <w:r>
                    <w:rPr>
                      <w:rFonts w:hint="eastAsia" w:ascii="Times New Roman" w:hAnsi="Times New Roman"/>
                    </w:rPr>
                    <w:t>925</w:t>
                  </w:r>
                </w:p>
              </w:tc>
              <w:tc>
                <w:tcPr>
                  <w:tcW w:w="1029" w:type="pct"/>
                  <w:vAlign w:val="center"/>
                </w:tcPr>
                <w:p>
                  <w:pPr>
                    <w:jc w:val="center"/>
                    <w:rPr>
                      <w:rFonts w:ascii="Times New Roman" w:hAnsi="Times New Roman"/>
                    </w:rPr>
                  </w:pPr>
                  <w:r>
                    <w:rPr>
                      <w:rFonts w:hint="eastAsia" w:ascii="Times New Roman" w:hAnsi="Times New Roman"/>
                    </w:rPr>
                    <w:t>1.06E-01</w:t>
                  </w:r>
                </w:p>
              </w:tc>
              <w:tc>
                <w:tcPr>
                  <w:tcW w:w="589" w:type="pct"/>
                  <w:vAlign w:val="center"/>
                </w:tcPr>
                <w:p>
                  <w:pPr>
                    <w:jc w:val="center"/>
                    <w:rPr>
                      <w:rFonts w:ascii="Times New Roman" w:hAnsi="Times New Roman"/>
                    </w:rPr>
                  </w:pPr>
                  <w:r>
                    <w:rPr>
                      <w:rFonts w:hint="eastAsia" w:ascii="Times New Roman" w:hAnsi="Times New Roman"/>
                    </w:rPr>
                    <w:t>5.29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950</w:t>
                  </w:r>
                </w:p>
              </w:tc>
              <w:tc>
                <w:tcPr>
                  <w:tcW w:w="1029" w:type="pct"/>
                  <w:vAlign w:val="center"/>
                </w:tcPr>
                <w:p>
                  <w:pPr>
                    <w:jc w:val="center"/>
                    <w:rPr>
                      <w:rFonts w:ascii="Times New Roman" w:hAnsi="Times New Roman"/>
                    </w:rPr>
                  </w:pPr>
                  <w:r>
                    <w:rPr>
                      <w:rFonts w:hint="eastAsia" w:ascii="Times New Roman" w:hAnsi="Times New Roman"/>
                    </w:rPr>
                    <w:t>1.18E-02</w:t>
                  </w:r>
                </w:p>
              </w:tc>
              <w:tc>
                <w:tcPr>
                  <w:tcW w:w="589" w:type="pct"/>
                  <w:vAlign w:val="center"/>
                </w:tcPr>
                <w:p>
                  <w:pPr>
                    <w:jc w:val="center"/>
                    <w:rPr>
                      <w:rFonts w:ascii="Times New Roman" w:hAnsi="Times New Roman"/>
                    </w:rPr>
                  </w:pPr>
                  <w:r>
                    <w:rPr>
                      <w:rFonts w:hint="eastAsia" w:ascii="Times New Roman" w:hAnsi="Times New Roman"/>
                    </w:rPr>
                    <w:t>0.59</w:t>
                  </w:r>
                </w:p>
              </w:tc>
              <w:tc>
                <w:tcPr>
                  <w:tcW w:w="882" w:type="pct"/>
                  <w:vAlign w:val="center"/>
                </w:tcPr>
                <w:p>
                  <w:pPr>
                    <w:jc w:val="center"/>
                    <w:rPr>
                      <w:rFonts w:ascii="Times New Roman" w:hAnsi="Times New Roman"/>
                    </w:rPr>
                  </w:pPr>
                  <w:r>
                    <w:rPr>
                      <w:rFonts w:hint="eastAsia" w:ascii="Times New Roman" w:hAnsi="Times New Roman"/>
                    </w:rPr>
                    <w:t>950</w:t>
                  </w:r>
                </w:p>
              </w:tc>
              <w:tc>
                <w:tcPr>
                  <w:tcW w:w="1029" w:type="pct"/>
                  <w:vAlign w:val="center"/>
                </w:tcPr>
                <w:p>
                  <w:pPr>
                    <w:jc w:val="center"/>
                    <w:rPr>
                      <w:rFonts w:ascii="Times New Roman" w:hAnsi="Times New Roman"/>
                    </w:rPr>
                  </w:pPr>
                  <w:r>
                    <w:rPr>
                      <w:rFonts w:hint="eastAsia" w:ascii="Times New Roman" w:hAnsi="Times New Roman"/>
                    </w:rPr>
                    <w:t>1.03E-01</w:t>
                  </w:r>
                </w:p>
              </w:tc>
              <w:tc>
                <w:tcPr>
                  <w:tcW w:w="589" w:type="pct"/>
                  <w:vAlign w:val="center"/>
                </w:tcPr>
                <w:p>
                  <w:pPr>
                    <w:jc w:val="center"/>
                    <w:rPr>
                      <w:rFonts w:ascii="Times New Roman" w:hAnsi="Times New Roman"/>
                    </w:rPr>
                  </w:pPr>
                  <w:r>
                    <w:rPr>
                      <w:rFonts w:hint="eastAsia" w:ascii="Times New Roman" w:hAnsi="Times New Roman"/>
                    </w:rPr>
                    <w:t>5.13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975</w:t>
                  </w:r>
                </w:p>
              </w:tc>
              <w:tc>
                <w:tcPr>
                  <w:tcW w:w="1029" w:type="pct"/>
                  <w:vAlign w:val="center"/>
                </w:tcPr>
                <w:p>
                  <w:pPr>
                    <w:jc w:val="center"/>
                    <w:rPr>
                      <w:rFonts w:ascii="Times New Roman" w:hAnsi="Times New Roman"/>
                    </w:rPr>
                  </w:pPr>
                  <w:r>
                    <w:rPr>
                      <w:rFonts w:hint="eastAsia" w:ascii="Times New Roman" w:hAnsi="Times New Roman"/>
                    </w:rPr>
                    <w:t>1.15E-02</w:t>
                  </w:r>
                </w:p>
              </w:tc>
              <w:tc>
                <w:tcPr>
                  <w:tcW w:w="589" w:type="pct"/>
                  <w:vAlign w:val="center"/>
                </w:tcPr>
                <w:p>
                  <w:pPr>
                    <w:jc w:val="center"/>
                    <w:rPr>
                      <w:rFonts w:ascii="Times New Roman" w:hAnsi="Times New Roman"/>
                    </w:rPr>
                  </w:pPr>
                  <w:r>
                    <w:rPr>
                      <w:rFonts w:hint="eastAsia" w:ascii="Times New Roman" w:hAnsi="Times New Roman"/>
                    </w:rPr>
                    <w:t>0.57</w:t>
                  </w:r>
                </w:p>
              </w:tc>
              <w:tc>
                <w:tcPr>
                  <w:tcW w:w="882" w:type="pct"/>
                  <w:vAlign w:val="center"/>
                </w:tcPr>
                <w:p>
                  <w:pPr>
                    <w:jc w:val="center"/>
                    <w:rPr>
                      <w:rFonts w:ascii="Times New Roman" w:hAnsi="Times New Roman"/>
                    </w:rPr>
                  </w:pPr>
                  <w:r>
                    <w:rPr>
                      <w:rFonts w:hint="eastAsia" w:ascii="Times New Roman" w:hAnsi="Times New Roman"/>
                    </w:rPr>
                    <w:t>975</w:t>
                  </w:r>
                </w:p>
              </w:tc>
              <w:tc>
                <w:tcPr>
                  <w:tcW w:w="1029" w:type="pct"/>
                  <w:vAlign w:val="center"/>
                </w:tcPr>
                <w:p>
                  <w:pPr>
                    <w:jc w:val="center"/>
                    <w:rPr>
                      <w:rFonts w:ascii="Times New Roman" w:hAnsi="Times New Roman"/>
                    </w:rPr>
                  </w:pPr>
                  <w:r>
                    <w:rPr>
                      <w:rFonts w:hint="eastAsia" w:ascii="Times New Roman" w:hAnsi="Times New Roman"/>
                    </w:rPr>
                    <w:t>9.94E-02</w:t>
                  </w:r>
                </w:p>
              </w:tc>
              <w:tc>
                <w:tcPr>
                  <w:tcW w:w="589" w:type="pct"/>
                  <w:vAlign w:val="center"/>
                </w:tcPr>
                <w:p>
                  <w:pPr>
                    <w:jc w:val="center"/>
                    <w:rPr>
                      <w:rFonts w:ascii="Times New Roman" w:hAnsi="Times New Roman"/>
                    </w:rPr>
                  </w:pPr>
                  <w:r>
                    <w:rPr>
                      <w:rFonts w:hint="eastAsia" w:ascii="Times New Roman" w:hAnsi="Times New Roman"/>
                    </w:rPr>
                    <w:t>4.97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1000</w:t>
                  </w:r>
                </w:p>
              </w:tc>
              <w:tc>
                <w:tcPr>
                  <w:tcW w:w="1029" w:type="pct"/>
                  <w:vAlign w:val="center"/>
                </w:tcPr>
                <w:p>
                  <w:pPr>
                    <w:jc w:val="center"/>
                    <w:rPr>
                      <w:rFonts w:ascii="Times New Roman" w:hAnsi="Times New Roman"/>
                    </w:rPr>
                  </w:pPr>
                  <w:r>
                    <w:rPr>
                      <w:rFonts w:hint="eastAsia" w:ascii="Times New Roman" w:hAnsi="Times New Roman"/>
                    </w:rPr>
                    <w:t>1.11E-02</w:t>
                  </w:r>
                </w:p>
              </w:tc>
              <w:tc>
                <w:tcPr>
                  <w:tcW w:w="589" w:type="pct"/>
                  <w:vAlign w:val="center"/>
                </w:tcPr>
                <w:p>
                  <w:pPr>
                    <w:jc w:val="center"/>
                    <w:rPr>
                      <w:rFonts w:ascii="Times New Roman" w:hAnsi="Times New Roman"/>
                    </w:rPr>
                  </w:pPr>
                  <w:r>
                    <w:rPr>
                      <w:rFonts w:hint="eastAsia" w:ascii="Times New Roman" w:hAnsi="Times New Roman"/>
                    </w:rPr>
                    <w:t>0.56</w:t>
                  </w:r>
                </w:p>
              </w:tc>
              <w:tc>
                <w:tcPr>
                  <w:tcW w:w="882" w:type="pct"/>
                  <w:vAlign w:val="center"/>
                </w:tcPr>
                <w:p>
                  <w:pPr>
                    <w:jc w:val="center"/>
                    <w:rPr>
                      <w:rFonts w:ascii="Times New Roman" w:hAnsi="Times New Roman"/>
                    </w:rPr>
                  </w:pPr>
                  <w:r>
                    <w:rPr>
                      <w:rFonts w:hint="eastAsia" w:ascii="Times New Roman" w:hAnsi="Times New Roman"/>
                    </w:rPr>
                    <w:t>1000</w:t>
                  </w:r>
                </w:p>
              </w:tc>
              <w:tc>
                <w:tcPr>
                  <w:tcW w:w="1029" w:type="pct"/>
                  <w:vAlign w:val="center"/>
                </w:tcPr>
                <w:p>
                  <w:pPr>
                    <w:jc w:val="center"/>
                    <w:rPr>
                      <w:rFonts w:ascii="Times New Roman" w:hAnsi="Times New Roman"/>
                    </w:rPr>
                  </w:pPr>
                  <w:r>
                    <w:rPr>
                      <w:rFonts w:hint="eastAsia" w:ascii="Times New Roman" w:hAnsi="Times New Roman"/>
                    </w:rPr>
                    <w:t>9.65E-02</w:t>
                  </w:r>
                </w:p>
              </w:tc>
              <w:tc>
                <w:tcPr>
                  <w:tcW w:w="589" w:type="pct"/>
                  <w:vAlign w:val="center"/>
                </w:tcPr>
                <w:p>
                  <w:pPr>
                    <w:jc w:val="center"/>
                    <w:rPr>
                      <w:rFonts w:ascii="Times New Roman" w:hAnsi="Times New Roman"/>
                    </w:rPr>
                  </w:pPr>
                  <w:r>
                    <w:rPr>
                      <w:rFonts w:hint="eastAsia" w:ascii="Times New Roman" w:hAnsi="Times New Roman"/>
                    </w:rPr>
                    <w:t>4.82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1025</w:t>
                  </w:r>
                </w:p>
              </w:tc>
              <w:tc>
                <w:tcPr>
                  <w:tcW w:w="1029" w:type="pct"/>
                  <w:vAlign w:val="center"/>
                </w:tcPr>
                <w:p>
                  <w:pPr>
                    <w:jc w:val="center"/>
                    <w:rPr>
                      <w:rFonts w:ascii="Times New Roman" w:hAnsi="Times New Roman"/>
                    </w:rPr>
                  </w:pPr>
                  <w:r>
                    <w:rPr>
                      <w:rFonts w:hint="eastAsia" w:ascii="Times New Roman" w:hAnsi="Times New Roman"/>
                    </w:rPr>
                    <w:t>1.08E-02</w:t>
                  </w:r>
                </w:p>
              </w:tc>
              <w:tc>
                <w:tcPr>
                  <w:tcW w:w="589" w:type="pct"/>
                  <w:vAlign w:val="center"/>
                </w:tcPr>
                <w:p>
                  <w:pPr>
                    <w:jc w:val="center"/>
                    <w:rPr>
                      <w:rFonts w:ascii="Times New Roman" w:hAnsi="Times New Roman"/>
                    </w:rPr>
                  </w:pPr>
                  <w:r>
                    <w:rPr>
                      <w:rFonts w:hint="eastAsia" w:ascii="Times New Roman" w:hAnsi="Times New Roman"/>
                    </w:rPr>
                    <w:t>0.54</w:t>
                  </w:r>
                </w:p>
              </w:tc>
              <w:tc>
                <w:tcPr>
                  <w:tcW w:w="882" w:type="pct"/>
                  <w:vAlign w:val="center"/>
                </w:tcPr>
                <w:p>
                  <w:pPr>
                    <w:jc w:val="center"/>
                    <w:rPr>
                      <w:rFonts w:ascii="Times New Roman" w:hAnsi="Times New Roman"/>
                    </w:rPr>
                  </w:pPr>
                  <w:r>
                    <w:rPr>
                      <w:rFonts w:hint="eastAsia" w:ascii="Times New Roman" w:hAnsi="Times New Roman"/>
                    </w:rPr>
                    <w:t>1025</w:t>
                  </w:r>
                </w:p>
              </w:tc>
              <w:tc>
                <w:tcPr>
                  <w:tcW w:w="1029" w:type="pct"/>
                  <w:vAlign w:val="center"/>
                </w:tcPr>
                <w:p>
                  <w:pPr>
                    <w:jc w:val="center"/>
                    <w:rPr>
                      <w:rFonts w:ascii="Times New Roman" w:hAnsi="Times New Roman"/>
                    </w:rPr>
                  </w:pPr>
                  <w:r>
                    <w:rPr>
                      <w:rFonts w:hint="eastAsia" w:ascii="Times New Roman" w:hAnsi="Times New Roman"/>
                    </w:rPr>
                    <w:t>9.37E-02</w:t>
                  </w:r>
                </w:p>
              </w:tc>
              <w:tc>
                <w:tcPr>
                  <w:tcW w:w="589" w:type="pct"/>
                  <w:vAlign w:val="center"/>
                </w:tcPr>
                <w:p>
                  <w:pPr>
                    <w:jc w:val="center"/>
                    <w:rPr>
                      <w:rFonts w:ascii="Times New Roman" w:hAnsi="Times New Roman"/>
                    </w:rPr>
                  </w:pPr>
                  <w:r>
                    <w:rPr>
                      <w:rFonts w:hint="eastAsia" w:ascii="Times New Roman" w:hAnsi="Times New Roman"/>
                    </w:rPr>
                    <w:t>4.68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1050</w:t>
                  </w:r>
                </w:p>
              </w:tc>
              <w:tc>
                <w:tcPr>
                  <w:tcW w:w="1029" w:type="pct"/>
                  <w:vAlign w:val="center"/>
                </w:tcPr>
                <w:p>
                  <w:pPr>
                    <w:jc w:val="center"/>
                    <w:rPr>
                      <w:rFonts w:ascii="Times New Roman" w:hAnsi="Times New Roman"/>
                    </w:rPr>
                  </w:pPr>
                  <w:r>
                    <w:rPr>
                      <w:rFonts w:hint="eastAsia" w:ascii="Times New Roman" w:hAnsi="Times New Roman"/>
                    </w:rPr>
                    <w:t>1.05E-02</w:t>
                  </w:r>
                </w:p>
              </w:tc>
              <w:tc>
                <w:tcPr>
                  <w:tcW w:w="589" w:type="pct"/>
                  <w:vAlign w:val="center"/>
                </w:tcPr>
                <w:p>
                  <w:pPr>
                    <w:jc w:val="center"/>
                    <w:rPr>
                      <w:rFonts w:ascii="Times New Roman" w:hAnsi="Times New Roman"/>
                    </w:rPr>
                  </w:pPr>
                  <w:r>
                    <w:rPr>
                      <w:rFonts w:hint="eastAsia" w:ascii="Times New Roman" w:hAnsi="Times New Roman"/>
                    </w:rPr>
                    <w:t>0.52</w:t>
                  </w:r>
                </w:p>
              </w:tc>
              <w:tc>
                <w:tcPr>
                  <w:tcW w:w="882" w:type="pct"/>
                  <w:vAlign w:val="center"/>
                </w:tcPr>
                <w:p>
                  <w:pPr>
                    <w:jc w:val="center"/>
                    <w:rPr>
                      <w:rFonts w:ascii="Times New Roman" w:hAnsi="Times New Roman"/>
                    </w:rPr>
                  </w:pPr>
                  <w:r>
                    <w:rPr>
                      <w:rFonts w:hint="eastAsia" w:ascii="Times New Roman" w:hAnsi="Times New Roman"/>
                    </w:rPr>
                    <w:t>1050</w:t>
                  </w:r>
                </w:p>
              </w:tc>
              <w:tc>
                <w:tcPr>
                  <w:tcW w:w="1029" w:type="pct"/>
                  <w:vAlign w:val="center"/>
                </w:tcPr>
                <w:p>
                  <w:pPr>
                    <w:jc w:val="center"/>
                    <w:rPr>
                      <w:rFonts w:ascii="Times New Roman" w:hAnsi="Times New Roman"/>
                    </w:rPr>
                  </w:pPr>
                  <w:r>
                    <w:rPr>
                      <w:rFonts w:hint="eastAsia" w:ascii="Times New Roman" w:hAnsi="Times New Roman"/>
                    </w:rPr>
                    <w:t>9.10E-02</w:t>
                  </w:r>
                </w:p>
              </w:tc>
              <w:tc>
                <w:tcPr>
                  <w:tcW w:w="589" w:type="pct"/>
                  <w:vAlign w:val="center"/>
                </w:tcPr>
                <w:p>
                  <w:pPr>
                    <w:jc w:val="center"/>
                    <w:rPr>
                      <w:rFonts w:ascii="Times New Roman" w:hAnsi="Times New Roman"/>
                    </w:rPr>
                  </w:pPr>
                  <w:r>
                    <w:rPr>
                      <w:rFonts w:hint="eastAsia" w:ascii="Times New Roman" w:hAnsi="Times New Roman"/>
                    </w:rPr>
                    <w:t>4.55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1075</w:t>
                  </w:r>
                </w:p>
              </w:tc>
              <w:tc>
                <w:tcPr>
                  <w:tcW w:w="1029" w:type="pct"/>
                  <w:vAlign w:val="center"/>
                </w:tcPr>
                <w:p>
                  <w:pPr>
                    <w:jc w:val="center"/>
                    <w:rPr>
                      <w:rFonts w:ascii="Times New Roman" w:hAnsi="Times New Roman"/>
                    </w:rPr>
                  </w:pPr>
                  <w:r>
                    <w:rPr>
                      <w:rFonts w:hint="eastAsia" w:ascii="Times New Roman" w:hAnsi="Times New Roman"/>
                    </w:rPr>
                    <w:t>1.02E-02</w:t>
                  </w:r>
                </w:p>
              </w:tc>
              <w:tc>
                <w:tcPr>
                  <w:tcW w:w="589" w:type="pct"/>
                  <w:vAlign w:val="center"/>
                </w:tcPr>
                <w:p>
                  <w:pPr>
                    <w:jc w:val="center"/>
                    <w:rPr>
                      <w:rFonts w:ascii="Times New Roman" w:hAnsi="Times New Roman"/>
                    </w:rPr>
                  </w:pPr>
                  <w:r>
                    <w:rPr>
                      <w:rFonts w:hint="eastAsia" w:ascii="Times New Roman" w:hAnsi="Times New Roman"/>
                    </w:rPr>
                    <w:t>0.51</w:t>
                  </w:r>
                </w:p>
              </w:tc>
              <w:tc>
                <w:tcPr>
                  <w:tcW w:w="882" w:type="pct"/>
                  <w:vAlign w:val="center"/>
                </w:tcPr>
                <w:p>
                  <w:pPr>
                    <w:jc w:val="center"/>
                    <w:rPr>
                      <w:rFonts w:ascii="Times New Roman" w:hAnsi="Times New Roman"/>
                    </w:rPr>
                  </w:pPr>
                  <w:r>
                    <w:rPr>
                      <w:rFonts w:hint="eastAsia" w:ascii="Times New Roman" w:hAnsi="Times New Roman"/>
                    </w:rPr>
                    <w:t>1075</w:t>
                  </w:r>
                </w:p>
              </w:tc>
              <w:tc>
                <w:tcPr>
                  <w:tcW w:w="1029" w:type="pct"/>
                  <w:vAlign w:val="center"/>
                </w:tcPr>
                <w:p>
                  <w:pPr>
                    <w:jc w:val="center"/>
                    <w:rPr>
                      <w:rFonts w:ascii="Times New Roman" w:hAnsi="Times New Roman"/>
                    </w:rPr>
                  </w:pPr>
                  <w:r>
                    <w:rPr>
                      <w:rFonts w:hint="eastAsia" w:ascii="Times New Roman" w:hAnsi="Times New Roman"/>
                    </w:rPr>
                    <w:t>8.85E-02</w:t>
                  </w:r>
                </w:p>
              </w:tc>
              <w:tc>
                <w:tcPr>
                  <w:tcW w:w="589" w:type="pct"/>
                  <w:vAlign w:val="center"/>
                </w:tcPr>
                <w:p>
                  <w:pPr>
                    <w:jc w:val="center"/>
                    <w:rPr>
                      <w:rFonts w:ascii="Times New Roman" w:hAnsi="Times New Roman"/>
                    </w:rPr>
                  </w:pPr>
                  <w:r>
                    <w:rPr>
                      <w:rFonts w:hint="eastAsia" w:ascii="Times New Roman" w:hAnsi="Times New Roman"/>
                    </w:rPr>
                    <w:t>4.42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1100</w:t>
                  </w:r>
                </w:p>
              </w:tc>
              <w:tc>
                <w:tcPr>
                  <w:tcW w:w="1029" w:type="pct"/>
                  <w:vAlign w:val="center"/>
                </w:tcPr>
                <w:p>
                  <w:pPr>
                    <w:jc w:val="center"/>
                    <w:rPr>
                      <w:rFonts w:ascii="Times New Roman" w:hAnsi="Times New Roman"/>
                    </w:rPr>
                  </w:pPr>
                  <w:r>
                    <w:rPr>
                      <w:rFonts w:hint="eastAsia" w:ascii="Times New Roman" w:hAnsi="Times New Roman"/>
                    </w:rPr>
                    <w:t>9.91E-03</w:t>
                  </w:r>
                </w:p>
              </w:tc>
              <w:tc>
                <w:tcPr>
                  <w:tcW w:w="589" w:type="pct"/>
                  <w:vAlign w:val="center"/>
                </w:tcPr>
                <w:p>
                  <w:pPr>
                    <w:jc w:val="center"/>
                    <w:rPr>
                      <w:rFonts w:ascii="Times New Roman" w:hAnsi="Times New Roman"/>
                    </w:rPr>
                  </w:pPr>
                  <w:r>
                    <w:rPr>
                      <w:rFonts w:hint="eastAsia" w:ascii="Times New Roman" w:hAnsi="Times New Roman"/>
                    </w:rPr>
                    <w:t>0.5</w:t>
                  </w:r>
                </w:p>
              </w:tc>
              <w:tc>
                <w:tcPr>
                  <w:tcW w:w="882" w:type="pct"/>
                  <w:vAlign w:val="center"/>
                </w:tcPr>
                <w:p>
                  <w:pPr>
                    <w:jc w:val="center"/>
                    <w:rPr>
                      <w:rFonts w:ascii="Times New Roman" w:hAnsi="Times New Roman"/>
                    </w:rPr>
                  </w:pPr>
                  <w:r>
                    <w:rPr>
                      <w:rFonts w:hint="eastAsia" w:ascii="Times New Roman" w:hAnsi="Times New Roman"/>
                    </w:rPr>
                    <w:t>1100</w:t>
                  </w:r>
                </w:p>
              </w:tc>
              <w:tc>
                <w:tcPr>
                  <w:tcW w:w="1029" w:type="pct"/>
                  <w:vAlign w:val="center"/>
                </w:tcPr>
                <w:p>
                  <w:pPr>
                    <w:jc w:val="center"/>
                    <w:rPr>
                      <w:rFonts w:ascii="Times New Roman" w:hAnsi="Times New Roman"/>
                    </w:rPr>
                  </w:pPr>
                  <w:r>
                    <w:rPr>
                      <w:rFonts w:hint="eastAsia" w:ascii="Times New Roman" w:hAnsi="Times New Roman"/>
                    </w:rPr>
                    <w:t>8.61E-02</w:t>
                  </w:r>
                </w:p>
              </w:tc>
              <w:tc>
                <w:tcPr>
                  <w:tcW w:w="589" w:type="pct"/>
                  <w:vAlign w:val="center"/>
                </w:tcPr>
                <w:p>
                  <w:pPr>
                    <w:jc w:val="center"/>
                    <w:rPr>
                      <w:rFonts w:ascii="Times New Roman" w:hAnsi="Times New Roman"/>
                    </w:rPr>
                  </w:pPr>
                  <w:r>
                    <w:rPr>
                      <w:rFonts w:hint="eastAsia" w:ascii="Times New Roman" w:hAnsi="Times New Roman"/>
                    </w:rPr>
                    <w:t>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1125</w:t>
                  </w:r>
                </w:p>
              </w:tc>
              <w:tc>
                <w:tcPr>
                  <w:tcW w:w="1029" w:type="pct"/>
                  <w:vAlign w:val="center"/>
                </w:tcPr>
                <w:p>
                  <w:pPr>
                    <w:jc w:val="center"/>
                    <w:rPr>
                      <w:rFonts w:ascii="Times New Roman" w:hAnsi="Times New Roman"/>
                    </w:rPr>
                  </w:pPr>
                  <w:r>
                    <w:rPr>
                      <w:rFonts w:hint="eastAsia" w:ascii="Times New Roman" w:hAnsi="Times New Roman"/>
                    </w:rPr>
                    <w:t>9.65E-03</w:t>
                  </w:r>
                </w:p>
              </w:tc>
              <w:tc>
                <w:tcPr>
                  <w:tcW w:w="589" w:type="pct"/>
                  <w:vAlign w:val="center"/>
                </w:tcPr>
                <w:p>
                  <w:pPr>
                    <w:jc w:val="center"/>
                    <w:rPr>
                      <w:rFonts w:ascii="Times New Roman" w:hAnsi="Times New Roman"/>
                    </w:rPr>
                  </w:pPr>
                  <w:r>
                    <w:rPr>
                      <w:rFonts w:hint="eastAsia" w:ascii="Times New Roman" w:hAnsi="Times New Roman"/>
                    </w:rPr>
                    <w:t>0.48</w:t>
                  </w:r>
                </w:p>
              </w:tc>
              <w:tc>
                <w:tcPr>
                  <w:tcW w:w="882" w:type="pct"/>
                  <w:vAlign w:val="center"/>
                </w:tcPr>
                <w:p>
                  <w:pPr>
                    <w:jc w:val="center"/>
                    <w:rPr>
                      <w:rFonts w:ascii="Times New Roman" w:hAnsi="Times New Roman"/>
                    </w:rPr>
                  </w:pPr>
                  <w:r>
                    <w:rPr>
                      <w:rFonts w:hint="eastAsia" w:ascii="Times New Roman" w:hAnsi="Times New Roman"/>
                    </w:rPr>
                    <w:t>1125</w:t>
                  </w:r>
                </w:p>
              </w:tc>
              <w:tc>
                <w:tcPr>
                  <w:tcW w:w="1029" w:type="pct"/>
                  <w:vAlign w:val="center"/>
                </w:tcPr>
                <w:p>
                  <w:pPr>
                    <w:jc w:val="center"/>
                    <w:rPr>
                      <w:rFonts w:ascii="Times New Roman" w:hAnsi="Times New Roman"/>
                    </w:rPr>
                  </w:pPr>
                  <w:r>
                    <w:rPr>
                      <w:rFonts w:hint="eastAsia" w:ascii="Times New Roman" w:hAnsi="Times New Roman"/>
                    </w:rPr>
                    <w:t>8.37E-02</w:t>
                  </w:r>
                </w:p>
              </w:tc>
              <w:tc>
                <w:tcPr>
                  <w:tcW w:w="589" w:type="pct"/>
                  <w:vAlign w:val="center"/>
                </w:tcPr>
                <w:p>
                  <w:pPr>
                    <w:jc w:val="center"/>
                    <w:rPr>
                      <w:rFonts w:ascii="Times New Roman" w:hAnsi="Times New Roman"/>
                    </w:rPr>
                  </w:pPr>
                  <w:r>
                    <w:rPr>
                      <w:rFonts w:hint="eastAsia" w:ascii="Times New Roman" w:hAnsi="Times New Roman"/>
                    </w:rPr>
                    <w:t>4.19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1150</w:t>
                  </w:r>
                </w:p>
              </w:tc>
              <w:tc>
                <w:tcPr>
                  <w:tcW w:w="1029" w:type="pct"/>
                  <w:vAlign w:val="center"/>
                </w:tcPr>
                <w:p>
                  <w:pPr>
                    <w:jc w:val="center"/>
                    <w:rPr>
                      <w:rFonts w:ascii="Times New Roman" w:hAnsi="Times New Roman"/>
                    </w:rPr>
                  </w:pPr>
                  <w:r>
                    <w:rPr>
                      <w:rFonts w:hint="eastAsia" w:ascii="Times New Roman" w:hAnsi="Times New Roman"/>
                    </w:rPr>
                    <w:t>9.39E-03</w:t>
                  </w:r>
                </w:p>
              </w:tc>
              <w:tc>
                <w:tcPr>
                  <w:tcW w:w="589" w:type="pct"/>
                  <w:vAlign w:val="center"/>
                </w:tcPr>
                <w:p>
                  <w:pPr>
                    <w:jc w:val="center"/>
                    <w:rPr>
                      <w:rFonts w:ascii="Times New Roman" w:hAnsi="Times New Roman"/>
                    </w:rPr>
                  </w:pPr>
                  <w:r>
                    <w:rPr>
                      <w:rFonts w:hint="eastAsia" w:ascii="Times New Roman" w:hAnsi="Times New Roman"/>
                    </w:rPr>
                    <w:t>0.47</w:t>
                  </w:r>
                </w:p>
              </w:tc>
              <w:tc>
                <w:tcPr>
                  <w:tcW w:w="882" w:type="pct"/>
                  <w:vAlign w:val="center"/>
                </w:tcPr>
                <w:p>
                  <w:pPr>
                    <w:jc w:val="center"/>
                    <w:rPr>
                      <w:rFonts w:ascii="Times New Roman" w:hAnsi="Times New Roman"/>
                    </w:rPr>
                  </w:pPr>
                  <w:r>
                    <w:rPr>
                      <w:rFonts w:hint="eastAsia" w:ascii="Times New Roman" w:hAnsi="Times New Roman"/>
                    </w:rPr>
                    <w:t>1150</w:t>
                  </w:r>
                </w:p>
              </w:tc>
              <w:tc>
                <w:tcPr>
                  <w:tcW w:w="1029" w:type="pct"/>
                  <w:vAlign w:val="center"/>
                </w:tcPr>
                <w:p>
                  <w:pPr>
                    <w:jc w:val="center"/>
                    <w:rPr>
                      <w:rFonts w:ascii="Times New Roman" w:hAnsi="Times New Roman"/>
                    </w:rPr>
                  </w:pPr>
                  <w:r>
                    <w:rPr>
                      <w:rFonts w:hint="eastAsia" w:ascii="Times New Roman" w:hAnsi="Times New Roman"/>
                    </w:rPr>
                    <w:t>8.15E-02</w:t>
                  </w:r>
                </w:p>
              </w:tc>
              <w:tc>
                <w:tcPr>
                  <w:tcW w:w="589" w:type="pct"/>
                  <w:vAlign w:val="center"/>
                </w:tcPr>
                <w:p>
                  <w:pPr>
                    <w:jc w:val="center"/>
                    <w:rPr>
                      <w:rFonts w:ascii="Times New Roman" w:hAnsi="Times New Roman"/>
                    </w:rPr>
                  </w:pPr>
                  <w:r>
                    <w:rPr>
                      <w:rFonts w:hint="eastAsia" w:ascii="Times New Roman" w:hAnsi="Times New Roman"/>
                    </w:rPr>
                    <w:t>4.08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1175</w:t>
                  </w:r>
                </w:p>
              </w:tc>
              <w:tc>
                <w:tcPr>
                  <w:tcW w:w="1029" w:type="pct"/>
                  <w:vAlign w:val="center"/>
                </w:tcPr>
                <w:p>
                  <w:pPr>
                    <w:jc w:val="center"/>
                    <w:rPr>
                      <w:rFonts w:ascii="Times New Roman" w:hAnsi="Times New Roman"/>
                    </w:rPr>
                  </w:pPr>
                  <w:r>
                    <w:rPr>
                      <w:rFonts w:hint="eastAsia" w:ascii="Times New Roman" w:hAnsi="Times New Roman"/>
                    </w:rPr>
                    <w:t>9.15E-03</w:t>
                  </w:r>
                </w:p>
              </w:tc>
              <w:tc>
                <w:tcPr>
                  <w:tcW w:w="589" w:type="pct"/>
                  <w:vAlign w:val="center"/>
                </w:tcPr>
                <w:p>
                  <w:pPr>
                    <w:jc w:val="center"/>
                    <w:rPr>
                      <w:rFonts w:ascii="Times New Roman" w:hAnsi="Times New Roman"/>
                    </w:rPr>
                  </w:pPr>
                  <w:r>
                    <w:rPr>
                      <w:rFonts w:hint="eastAsia" w:ascii="Times New Roman" w:hAnsi="Times New Roman"/>
                    </w:rPr>
                    <w:t>0.46</w:t>
                  </w:r>
                </w:p>
              </w:tc>
              <w:tc>
                <w:tcPr>
                  <w:tcW w:w="882" w:type="pct"/>
                  <w:vAlign w:val="center"/>
                </w:tcPr>
                <w:p>
                  <w:pPr>
                    <w:jc w:val="center"/>
                    <w:rPr>
                      <w:rFonts w:ascii="Times New Roman" w:hAnsi="Times New Roman"/>
                    </w:rPr>
                  </w:pPr>
                  <w:r>
                    <w:rPr>
                      <w:rFonts w:hint="eastAsia" w:ascii="Times New Roman" w:hAnsi="Times New Roman"/>
                    </w:rPr>
                    <w:t>1175</w:t>
                  </w:r>
                </w:p>
              </w:tc>
              <w:tc>
                <w:tcPr>
                  <w:tcW w:w="1029" w:type="pct"/>
                  <w:vAlign w:val="center"/>
                </w:tcPr>
                <w:p>
                  <w:pPr>
                    <w:jc w:val="center"/>
                    <w:rPr>
                      <w:rFonts w:ascii="Times New Roman" w:hAnsi="Times New Roman"/>
                    </w:rPr>
                  </w:pPr>
                  <w:r>
                    <w:rPr>
                      <w:rFonts w:hint="eastAsia" w:ascii="Times New Roman" w:hAnsi="Times New Roman"/>
                    </w:rPr>
                    <w:t>7.94E-02</w:t>
                  </w:r>
                </w:p>
              </w:tc>
              <w:tc>
                <w:tcPr>
                  <w:tcW w:w="589" w:type="pct"/>
                  <w:vAlign w:val="center"/>
                </w:tcPr>
                <w:p>
                  <w:pPr>
                    <w:jc w:val="center"/>
                    <w:rPr>
                      <w:rFonts w:ascii="Times New Roman" w:hAnsi="Times New Roman"/>
                    </w:rPr>
                  </w:pPr>
                  <w:r>
                    <w:rPr>
                      <w:rFonts w:hint="eastAsia" w:ascii="Times New Roman" w:hAnsi="Times New Roman"/>
                    </w:rPr>
                    <w:t>3.97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1200</w:t>
                  </w:r>
                </w:p>
              </w:tc>
              <w:tc>
                <w:tcPr>
                  <w:tcW w:w="1029" w:type="pct"/>
                  <w:vAlign w:val="center"/>
                </w:tcPr>
                <w:p>
                  <w:pPr>
                    <w:jc w:val="center"/>
                    <w:rPr>
                      <w:rFonts w:ascii="Times New Roman" w:hAnsi="Times New Roman"/>
                    </w:rPr>
                  </w:pPr>
                  <w:r>
                    <w:rPr>
                      <w:rFonts w:hint="eastAsia" w:ascii="Times New Roman" w:hAnsi="Times New Roman"/>
                    </w:rPr>
                    <w:t>8.92E-03</w:t>
                  </w:r>
                </w:p>
              </w:tc>
              <w:tc>
                <w:tcPr>
                  <w:tcW w:w="589" w:type="pct"/>
                  <w:vAlign w:val="center"/>
                </w:tcPr>
                <w:p>
                  <w:pPr>
                    <w:jc w:val="center"/>
                    <w:rPr>
                      <w:rFonts w:ascii="Times New Roman" w:hAnsi="Times New Roman"/>
                    </w:rPr>
                  </w:pPr>
                  <w:r>
                    <w:rPr>
                      <w:rFonts w:hint="eastAsia" w:ascii="Times New Roman" w:hAnsi="Times New Roman"/>
                    </w:rPr>
                    <w:t>0.45</w:t>
                  </w:r>
                </w:p>
              </w:tc>
              <w:tc>
                <w:tcPr>
                  <w:tcW w:w="882" w:type="pct"/>
                  <w:vAlign w:val="center"/>
                </w:tcPr>
                <w:p>
                  <w:pPr>
                    <w:jc w:val="center"/>
                    <w:rPr>
                      <w:rFonts w:ascii="Times New Roman" w:hAnsi="Times New Roman"/>
                    </w:rPr>
                  </w:pPr>
                  <w:r>
                    <w:rPr>
                      <w:rFonts w:hint="eastAsia" w:ascii="Times New Roman" w:hAnsi="Times New Roman"/>
                    </w:rPr>
                    <w:t>1200</w:t>
                  </w:r>
                </w:p>
              </w:tc>
              <w:tc>
                <w:tcPr>
                  <w:tcW w:w="1029" w:type="pct"/>
                  <w:vAlign w:val="center"/>
                </w:tcPr>
                <w:p>
                  <w:pPr>
                    <w:jc w:val="center"/>
                    <w:rPr>
                      <w:rFonts w:ascii="Times New Roman" w:hAnsi="Times New Roman"/>
                    </w:rPr>
                  </w:pPr>
                  <w:r>
                    <w:rPr>
                      <w:rFonts w:hint="eastAsia" w:ascii="Times New Roman" w:hAnsi="Times New Roman"/>
                    </w:rPr>
                    <w:t>7.74E-02</w:t>
                  </w:r>
                </w:p>
              </w:tc>
              <w:tc>
                <w:tcPr>
                  <w:tcW w:w="589" w:type="pct"/>
                  <w:vAlign w:val="center"/>
                </w:tcPr>
                <w:p>
                  <w:pPr>
                    <w:jc w:val="center"/>
                    <w:rPr>
                      <w:rFonts w:ascii="Times New Roman" w:hAnsi="Times New Roman"/>
                    </w:rPr>
                  </w:pPr>
                  <w:r>
                    <w:rPr>
                      <w:rFonts w:hint="eastAsia" w:ascii="Times New Roman" w:hAnsi="Times New Roman"/>
                    </w:rPr>
                    <w:t>3.87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1225</w:t>
                  </w:r>
                </w:p>
              </w:tc>
              <w:tc>
                <w:tcPr>
                  <w:tcW w:w="1029" w:type="pct"/>
                  <w:vAlign w:val="center"/>
                </w:tcPr>
                <w:p>
                  <w:pPr>
                    <w:jc w:val="center"/>
                    <w:rPr>
                      <w:rFonts w:ascii="Times New Roman" w:hAnsi="Times New Roman"/>
                    </w:rPr>
                  </w:pPr>
                  <w:r>
                    <w:rPr>
                      <w:rFonts w:hint="eastAsia" w:ascii="Times New Roman" w:hAnsi="Times New Roman"/>
                    </w:rPr>
                    <w:t>8.70E-03</w:t>
                  </w:r>
                </w:p>
              </w:tc>
              <w:tc>
                <w:tcPr>
                  <w:tcW w:w="589" w:type="pct"/>
                  <w:vAlign w:val="center"/>
                </w:tcPr>
                <w:p>
                  <w:pPr>
                    <w:jc w:val="center"/>
                    <w:rPr>
                      <w:rFonts w:ascii="Times New Roman" w:hAnsi="Times New Roman"/>
                    </w:rPr>
                  </w:pPr>
                  <w:r>
                    <w:rPr>
                      <w:rFonts w:hint="eastAsia" w:ascii="Times New Roman" w:hAnsi="Times New Roman"/>
                    </w:rPr>
                    <w:t>0.43</w:t>
                  </w:r>
                </w:p>
              </w:tc>
              <w:tc>
                <w:tcPr>
                  <w:tcW w:w="882" w:type="pct"/>
                  <w:vAlign w:val="center"/>
                </w:tcPr>
                <w:p>
                  <w:pPr>
                    <w:jc w:val="center"/>
                    <w:rPr>
                      <w:rFonts w:ascii="Times New Roman" w:hAnsi="Times New Roman"/>
                    </w:rPr>
                  </w:pPr>
                  <w:r>
                    <w:rPr>
                      <w:rFonts w:hint="eastAsia" w:ascii="Times New Roman" w:hAnsi="Times New Roman"/>
                    </w:rPr>
                    <w:t>1225</w:t>
                  </w:r>
                </w:p>
              </w:tc>
              <w:tc>
                <w:tcPr>
                  <w:tcW w:w="1029" w:type="pct"/>
                  <w:vAlign w:val="center"/>
                </w:tcPr>
                <w:p>
                  <w:pPr>
                    <w:jc w:val="center"/>
                    <w:rPr>
                      <w:rFonts w:ascii="Times New Roman" w:hAnsi="Times New Roman"/>
                    </w:rPr>
                  </w:pPr>
                  <w:r>
                    <w:rPr>
                      <w:rFonts w:hint="eastAsia" w:ascii="Times New Roman" w:hAnsi="Times New Roman"/>
                    </w:rPr>
                    <w:t>7.55E-02</w:t>
                  </w:r>
                </w:p>
              </w:tc>
              <w:tc>
                <w:tcPr>
                  <w:tcW w:w="589" w:type="pct"/>
                  <w:vAlign w:val="center"/>
                </w:tcPr>
                <w:p>
                  <w:pPr>
                    <w:jc w:val="center"/>
                    <w:rPr>
                      <w:rFonts w:ascii="Times New Roman" w:hAnsi="Times New Roman"/>
                    </w:rPr>
                  </w:pPr>
                  <w:r>
                    <w:rPr>
                      <w:rFonts w:hint="eastAsia" w:ascii="Times New Roman" w:hAnsi="Times New Roman"/>
                    </w:rPr>
                    <w:t>3.77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1250</w:t>
                  </w:r>
                </w:p>
              </w:tc>
              <w:tc>
                <w:tcPr>
                  <w:tcW w:w="1029" w:type="pct"/>
                  <w:vAlign w:val="center"/>
                </w:tcPr>
                <w:p>
                  <w:pPr>
                    <w:jc w:val="center"/>
                    <w:rPr>
                      <w:rFonts w:ascii="Times New Roman" w:hAnsi="Times New Roman"/>
                    </w:rPr>
                  </w:pPr>
                  <w:r>
                    <w:rPr>
                      <w:rFonts w:hint="eastAsia" w:ascii="Times New Roman" w:hAnsi="Times New Roman"/>
                    </w:rPr>
                    <w:t>8.49E-03</w:t>
                  </w:r>
                </w:p>
              </w:tc>
              <w:tc>
                <w:tcPr>
                  <w:tcW w:w="589" w:type="pct"/>
                  <w:vAlign w:val="center"/>
                </w:tcPr>
                <w:p>
                  <w:pPr>
                    <w:jc w:val="center"/>
                    <w:rPr>
                      <w:rFonts w:ascii="Times New Roman" w:hAnsi="Times New Roman"/>
                    </w:rPr>
                  </w:pPr>
                  <w:r>
                    <w:rPr>
                      <w:rFonts w:hint="eastAsia" w:ascii="Times New Roman" w:hAnsi="Times New Roman"/>
                    </w:rPr>
                    <w:t>0.42</w:t>
                  </w:r>
                </w:p>
              </w:tc>
              <w:tc>
                <w:tcPr>
                  <w:tcW w:w="882" w:type="pct"/>
                  <w:vAlign w:val="center"/>
                </w:tcPr>
                <w:p>
                  <w:pPr>
                    <w:jc w:val="center"/>
                    <w:rPr>
                      <w:rFonts w:ascii="Times New Roman" w:hAnsi="Times New Roman"/>
                    </w:rPr>
                  </w:pPr>
                  <w:r>
                    <w:rPr>
                      <w:rFonts w:hint="eastAsia" w:ascii="Times New Roman" w:hAnsi="Times New Roman"/>
                    </w:rPr>
                    <w:t>1250</w:t>
                  </w:r>
                </w:p>
              </w:tc>
              <w:tc>
                <w:tcPr>
                  <w:tcW w:w="1029" w:type="pct"/>
                  <w:vAlign w:val="center"/>
                </w:tcPr>
                <w:p>
                  <w:pPr>
                    <w:jc w:val="center"/>
                    <w:rPr>
                      <w:rFonts w:ascii="Times New Roman" w:hAnsi="Times New Roman"/>
                    </w:rPr>
                  </w:pPr>
                  <w:r>
                    <w:rPr>
                      <w:rFonts w:hint="eastAsia" w:ascii="Times New Roman" w:hAnsi="Times New Roman"/>
                    </w:rPr>
                    <w:t>7.36E-02</w:t>
                  </w:r>
                </w:p>
              </w:tc>
              <w:tc>
                <w:tcPr>
                  <w:tcW w:w="589" w:type="pct"/>
                  <w:vAlign w:val="center"/>
                </w:tcPr>
                <w:p>
                  <w:pPr>
                    <w:jc w:val="center"/>
                    <w:rPr>
                      <w:rFonts w:ascii="Times New Roman" w:hAnsi="Times New Roman"/>
                    </w:rPr>
                  </w:pPr>
                  <w:r>
                    <w:rPr>
                      <w:rFonts w:hint="eastAsia" w:ascii="Times New Roman" w:hAnsi="Times New Roman"/>
                    </w:rPr>
                    <w:t>3.68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1275</w:t>
                  </w:r>
                </w:p>
              </w:tc>
              <w:tc>
                <w:tcPr>
                  <w:tcW w:w="1029" w:type="pct"/>
                  <w:vAlign w:val="center"/>
                </w:tcPr>
                <w:p>
                  <w:pPr>
                    <w:jc w:val="center"/>
                    <w:rPr>
                      <w:rFonts w:ascii="Times New Roman" w:hAnsi="Times New Roman"/>
                    </w:rPr>
                  </w:pPr>
                  <w:r>
                    <w:rPr>
                      <w:rFonts w:hint="eastAsia" w:ascii="Times New Roman" w:hAnsi="Times New Roman"/>
                    </w:rPr>
                    <w:t>8.28E-03</w:t>
                  </w:r>
                </w:p>
              </w:tc>
              <w:tc>
                <w:tcPr>
                  <w:tcW w:w="589" w:type="pct"/>
                  <w:vAlign w:val="center"/>
                </w:tcPr>
                <w:p>
                  <w:pPr>
                    <w:jc w:val="center"/>
                    <w:rPr>
                      <w:rFonts w:ascii="Times New Roman" w:hAnsi="Times New Roman"/>
                    </w:rPr>
                  </w:pPr>
                  <w:r>
                    <w:rPr>
                      <w:rFonts w:hint="eastAsia" w:ascii="Times New Roman" w:hAnsi="Times New Roman"/>
                    </w:rPr>
                    <w:t>0.41</w:t>
                  </w:r>
                </w:p>
              </w:tc>
              <w:tc>
                <w:tcPr>
                  <w:tcW w:w="882" w:type="pct"/>
                  <w:vAlign w:val="center"/>
                </w:tcPr>
                <w:p>
                  <w:pPr>
                    <w:jc w:val="center"/>
                    <w:rPr>
                      <w:rFonts w:ascii="Times New Roman" w:hAnsi="Times New Roman"/>
                    </w:rPr>
                  </w:pPr>
                  <w:r>
                    <w:rPr>
                      <w:rFonts w:hint="eastAsia" w:ascii="Times New Roman" w:hAnsi="Times New Roman"/>
                    </w:rPr>
                    <w:t>1275</w:t>
                  </w:r>
                </w:p>
              </w:tc>
              <w:tc>
                <w:tcPr>
                  <w:tcW w:w="1029" w:type="pct"/>
                  <w:vAlign w:val="center"/>
                </w:tcPr>
                <w:p>
                  <w:pPr>
                    <w:jc w:val="center"/>
                    <w:rPr>
                      <w:rFonts w:ascii="Times New Roman" w:hAnsi="Times New Roman"/>
                    </w:rPr>
                  </w:pPr>
                  <w:r>
                    <w:rPr>
                      <w:rFonts w:hint="eastAsia" w:ascii="Times New Roman" w:hAnsi="Times New Roman"/>
                    </w:rPr>
                    <w:t>7.19E-02</w:t>
                  </w:r>
                </w:p>
              </w:tc>
              <w:tc>
                <w:tcPr>
                  <w:tcW w:w="589" w:type="pct"/>
                  <w:vAlign w:val="center"/>
                </w:tcPr>
                <w:p>
                  <w:pPr>
                    <w:jc w:val="center"/>
                    <w:rPr>
                      <w:rFonts w:ascii="Times New Roman" w:hAnsi="Times New Roman"/>
                    </w:rPr>
                  </w:pPr>
                  <w:r>
                    <w:rPr>
                      <w:rFonts w:hint="eastAsia" w:ascii="Times New Roman" w:hAnsi="Times New Roman"/>
                    </w:rPr>
                    <w:t>3.59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1300</w:t>
                  </w:r>
                </w:p>
              </w:tc>
              <w:tc>
                <w:tcPr>
                  <w:tcW w:w="1029" w:type="pct"/>
                  <w:vAlign w:val="center"/>
                </w:tcPr>
                <w:p>
                  <w:pPr>
                    <w:jc w:val="center"/>
                    <w:rPr>
                      <w:rFonts w:ascii="Times New Roman" w:hAnsi="Times New Roman"/>
                    </w:rPr>
                  </w:pPr>
                  <w:r>
                    <w:rPr>
                      <w:rFonts w:hint="eastAsia" w:ascii="Times New Roman" w:hAnsi="Times New Roman"/>
                    </w:rPr>
                    <w:t>8.09E-03</w:t>
                  </w:r>
                </w:p>
              </w:tc>
              <w:tc>
                <w:tcPr>
                  <w:tcW w:w="589" w:type="pct"/>
                  <w:vAlign w:val="center"/>
                </w:tcPr>
                <w:p>
                  <w:pPr>
                    <w:jc w:val="center"/>
                    <w:rPr>
                      <w:rFonts w:ascii="Times New Roman" w:hAnsi="Times New Roman"/>
                    </w:rPr>
                  </w:pPr>
                  <w:r>
                    <w:rPr>
                      <w:rFonts w:hint="eastAsia" w:ascii="Times New Roman" w:hAnsi="Times New Roman"/>
                    </w:rPr>
                    <w:t>0.4</w:t>
                  </w:r>
                </w:p>
              </w:tc>
              <w:tc>
                <w:tcPr>
                  <w:tcW w:w="882" w:type="pct"/>
                  <w:vAlign w:val="center"/>
                </w:tcPr>
                <w:p>
                  <w:pPr>
                    <w:jc w:val="center"/>
                    <w:rPr>
                      <w:rFonts w:ascii="Times New Roman" w:hAnsi="Times New Roman"/>
                    </w:rPr>
                  </w:pPr>
                  <w:r>
                    <w:rPr>
                      <w:rFonts w:hint="eastAsia" w:ascii="Times New Roman" w:hAnsi="Times New Roman"/>
                    </w:rPr>
                    <w:t>1300</w:t>
                  </w:r>
                </w:p>
              </w:tc>
              <w:tc>
                <w:tcPr>
                  <w:tcW w:w="1029" w:type="pct"/>
                  <w:vAlign w:val="center"/>
                </w:tcPr>
                <w:p>
                  <w:pPr>
                    <w:jc w:val="center"/>
                    <w:rPr>
                      <w:rFonts w:ascii="Times New Roman" w:hAnsi="Times New Roman"/>
                    </w:rPr>
                  </w:pPr>
                  <w:r>
                    <w:rPr>
                      <w:rFonts w:hint="eastAsia" w:ascii="Times New Roman" w:hAnsi="Times New Roman"/>
                    </w:rPr>
                    <w:t>7.02E-02</w:t>
                  </w:r>
                </w:p>
              </w:tc>
              <w:tc>
                <w:tcPr>
                  <w:tcW w:w="589" w:type="pct"/>
                  <w:vAlign w:val="center"/>
                </w:tcPr>
                <w:p>
                  <w:pPr>
                    <w:jc w:val="center"/>
                    <w:rPr>
                      <w:rFonts w:ascii="Times New Roman" w:hAnsi="Times New Roman"/>
                    </w:rPr>
                  </w:pPr>
                  <w:r>
                    <w:rPr>
                      <w:rFonts w:hint="eastAsia" w:ascii="Times New Roman" w:hAnsi="Times New Roman"/>
                    </w:rPr>
                    <w:t>3.51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1325</w:t>
                  </w:r>
                </w:p>
              </w:tc>
              <w:tc>
                <w:tcPr>
                  <w:tcW w:w="1029" w:type="pct"/>
                  <w:vAlign w:val="center"/>
                </w:tcPr>
                <w:p>
                  <w:pPr>
                    <w:jc w:val="center"/>
                    <w:rPr>
                      <w:rFonts w:ascii="Times New Roman" w:hAnsi="Times New Roman"/>
                    </w:rPr>
                  </w:pPr>
                  <w:r>
                    <w:rPr>
                      <w:rFonts w:hint="eastAsia" w:ascii="Times New Roman" w:hAnsi="Times New Roman"/>
                    </w:rPr>
                    <w:t>7.90E-03</w:t>
                  </w:r>
                </w:p>
              </w:tc>
              <w:tc>
                <w:tcPr>
                  <w:tcW w:w="589" w:type="pct"/>
                  <w:vAlign w:val="center"/>
                </w:tcPr>
                <w:p>
                  <w:pPr>
                    <w:jc w:val="center"/>
                    <w:rPr>
                      <w:rFonts w:ascii="Times New Roman" w:hAnsi="Times New Roman"/>
                    </w:rPr>
                  </w:pPr>
                  <w:r>
                    <w:rPr>
                      <w:rFonts w:hint="eastAsia" w:ascii="Times New Roman" w:hAnsi="Times New Roman"/>
                    </w:rPr>
                    <w:t>0.39</w:t>
                  </w:r>
                </w:p>
              </w:tc>
              <w:tc>
                <w:tcPr>
                  <w:tcW w:w="882" w:type="pct"/>
                  <w:vAlign w:val="center"/>
                </w:tcPr>
                <w:p>
                  <w:pPr>
                    <w:jc w:val="center"/>
                    <w:rPr>
                      <w:rFonts w:ascii="Times New Roman" w:hAnsi="Times New Roman"/>
                    </w:rPr>
                  </w:pPr>
                  <w:r>
                    <w:rPr>
                      <w:rFonts w:hint="eastAsia" w:ascii="Times New Roman" w:hAnsi="Times New Roman"/>
                    </w:rPr>
                    <w:t>1325</w:t>
                  </w:r>
                </w:p>
              </w:tc>
              <w:tc>
                <w:tcPr>
                  <w:tcW w:w="1029" w:type="pct"/>
                  <w:vAlign w:val="center"/>
                </w:tcPr>
                <w:p>
                  <w:pPr>
                    <w:jc w:val="center"/>
                    <w:rPr>
                      <w:rFonts w:ascii="Times New Roman" w:hAnsi="Times New Roman"/>
                    </w:rPr>
                  </w:pPr>
                  <w:r>
                    <w:rPr>
                      <w:rFonts w:hint="eastAsia" w:ascii="Times New Roman" w:hAnsi="Times New Roman"/>
                    </w:rPr>
                    <w:t>6.86E-02</w:t>
                  </w:r>
                </w:p>
              </w:tc>
              <w:tc>
                <w:tcPr>
                  <w:tcW w:w="589" w:type="pct"/>
                  <w:vAlign w:val="center"/>
                </w:tcPr>
                <w:p>
                  <w:pPr>
                    <w:jc w:val="center"/>
                    <w:rPr>
                      <w:rFonts w:ascii="Times New Roman" w:hAnsi="Times New Roman"/>
                    </w:rPr>
                  </w:pPr>
                  <w:r>
                    <w:rPr>
                      <w:rFonts w:hint="eastAsia" w:ascii="Times New Roman" w:hAnsi="Times New Roman"/>
                    </w:rPr>
                    <w:t>3.43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1350</w:t>
                  </w:r>
                </w:p>
              </w:tc>
              <w:tc>
                <w:tcPr>
                  <w:tcW w:w="1029" w:type="pct"/>
                  <w:vAlign w:val="center"/>
                </w:tcPr>
                <w:p>
                  <w:pPr>
                    <w:jc w:val="center"/>
                    <w:rPr>
                      <w:rFonts w:ascii="Times New Roman" w:hAnsi="Times New Roman"/>
                    </w:rPr>
                  </w:pPr>
                  <w:r>
                    <w:rPr>
                      <w:rFonts w:hint="eastAsia" w:ascii="Times New Roman" w:hAnsi="Times New Roman"/>
                    </w:rPr>
                    <w:t>7.72E-03</w:t>
                  </w:r>
                </w:p>
              </w:tc>
              <w:tc>
                <w:tcPr>
                  <w:tcW w:w="589" w:type="pct"/>
                  <w:vAlign w:val="center"/>
                </w:tcPr>
                <w:p>
                  <w:pPr>
                    <w:jc w:val="center"/>
                    <w:rPr>
                      <w:rFonts w:ascii="Times New Roman" w:hAnsi="Times New Roman"/>
                    </w:rPr>
                  </w:pPr>
                  <w:r>
                    <w:rPr>
                      <w:rFonts w:hint="eastAsia" w:ascii="Times New Roman" w:hAnsi="Times New Roman"/>
                    </w:rPr>
                    <w:t>0.39</w:t>
                  </w:r>
                </w:p>
              </w:tc>
              <w:tc>
                <w:tcPr>
                  <w:tcW w:w="882" w:type="pct"/>
                  <w:vAlign w:val="center"/>
                </w:tcPr>
                <w:p>
                  <w:pPr>
                    <w:jc w:val="center"/>
                    <w:rPr>
                      <w:rFonts w:ascii="Times New Roman" w:hAnsi="Times New Roman"/>
                    </w:rPr>
                  </w:pPr>
                  <w:r>
                    <w:rPr>
                      <w:rFonts w:hint="eastAsia" w:ascii="Times New Roman" w:hAnsi="Times New Roman"/>
                    </w:rPr>
                    <w:t>1350</w:t>
                  </w:r>
                </w:p>
              </w:tc>
              <w:tc>
                <w:tcPr>
                  <w:tcW w:w="1029" w:type="pct"/>
                  <w:vAlign w:val="center"/>
                </w:tcPr>
                <w:p>
                  <w:pPr>
                    <w:jc w:val="center"/>
                    <w:rPr>
                      <w:rFonts w:ascii="Times New Roman" w:hAnsi="Times New Roman"/>
                    </w:rPr>
                  </w:pPr>
                  <w:r>
                    <w:rPr>
                      <w:rFonts w:hint="eastAsia" w:ascii="Times New Roman" w:hAnsi="Times New Roman"/>
                    </w:rPr>
                    <w:t>6.70E-02</w:t>
                  </w:r>
                </w:p>
              </w:tc>
              <w:tc>
                <w:tcPr>
                  <w:tcW w:w="589" w:type="pct"/>
                  <w:vAlign w:val="center"/>
                </w:tcPr>
                <w:p>
                  <w:pPr>
                    <w:jc w:val="center"/>
                    <w:rPr>
                      <w:rFonts w:ascii="Times New Roman" w:hAnsi="Times New Roman"/>
                    </w:rPr>
                  </w:pPr>
                  <w:r>
                    <w:rPr>
                      <w:rFonts w:hint="eastAsia" w:ascii="Times New Roman" w:hAnsi="Times New Roman"/>
                    </w:rPr>
                    <w:t>3.35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1375</w:t>
                  </w:r>
                </w:p>
              </w:tc>
              <w:tc>
                <w:tcPr>
                  <w:tcW w:w="1029" w:type="pct"/>
                  <w:vAlign w:val="center"/>
                </w:tcPr>
                <w:p>
                  <w:pPr>
                    <w:jc w:val="center"/>
                    <w:rPr>
                      <w:rFonts w:ascii="Times New Roman" w:hAnsi="Times New Roman"/>
                    </w:rPr>
                  </w:pPr>
                  <w:r>
                    <w:rPr>
                      <w:rFonts w:hint="eastAsia" w:ascii="Times New Roman" w:hAnsi="Times New Roman"/>
                    </w:rPr>
                    <w:t>7.54E-03</w:t>
                  </w:r>
                </w:p>
              </w:tc>
              <w:tc>
                <w:tcPr>
                  <w:tcW w:w="589" w:type="pct"/>
                  <w:vAlign w:val="center"/>
                </w:tcPr>
                <w:p>
                  <w:pPr>
                    <w:jc w:val="center"/>
                    <w:rPr>
                      <w:rFonts w:ascii="Times New Roman" w:hAnsi="Times New Roman"/>
                    </w:rPr>
                  </w:pPr>
                  <w:r>
                    <w:rPr>
                      <w:rFonts w:hint="eastAsia" w:ascii="Times New Roman" w:hAnsi="Times New Roman"/>
                    </w:rPr>
                    <w:t>0.38</w:t>
                  </w:r>
                </w:p>
              </w:tc>
              <w:tc>
                <w:tcPr>
                  <w:tcW w:w="882" w:type="pct"/>
                  <w:vAlign w:val="center"/>
                </w:tcPr>
                <w:p>
                  <w:pPr>
                    <w:jc w:val="center"/>
                    <w:rPr>
                      <w:rFonts w:ascii="Times New Roman" w:hAnsi="Times New Roman"/>
                    </w:rPr>
                  </w:pPr>
                  <w:r>
                    <w:rPr>
                      <w:rFonts w:hint="eastAsia" w:ascii="Times New Roman" w:hAnsi="Times New Roman"/>
                    </w:rPr>
                    <w:t>1375</w:t>
                  </w:r>
                </w:p>
              </w:tc>
              <w:tc>
                <w:tcPr>
                  <w:tcW w:w="1029" w:type="pct"/>
                  <w:vAlign w:val="center"/>
                </w:tcPr>
                <w:p>
                  <w:pPr>
                    <w:jc w:val="center"/>
                    <w:rPr>
                      <w:rFonts w:ascii="Times New Roman" w:hAnsi="Times New Roman"/>
                    </w:rPr>
                  </w:pPr>
                  <w:r>
                    <w:rPr>
                      <w:rFonts w:hint="eastAsia" w:ascii="Times New Roman" w:hAnsi="Times New Roman"/>
                    </w:rPr>
                    <w:t>6.55E-02</w:t>
                  </w:r>
                </w:p>
              </w:tc>
              <w:tc>
                <w:tcPr>
                  <w:tcW w:w="589" w:type="pct"/>
                  <w:vAlign w:val="center"/>
                </w:tcPr>
                <w:p>
                  <w:pPr>
                    <w:jc w:val="center"/>
                    <w:rPr>
                      <w:rFonts w:ascii="Times New Roman" w:hAnsi="Times New Roman"/>
                    </w:rPr>
                  </w:pPr>
                  <w:r>
                    <w:rPr>
                      <w:rFonts w:hint="eastAsia" w:ascii="Times New Roman" w:hAnsi="Times New Roman"/>
                    </w:rPr>
                    <w:t>3.27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1400</w:t>
                  </w:r>
                </w:p>
              </w:tc>
              <w:tc>
                <w:tcPr>
                  <w:tcW w:w="1029" w:type="pct"/>
                  <w:vAlign w:val="center"/>
                </w:tcPr>
                <w:p>
                  <w:pPr>
                    <w:jc w:val="center"/>
                    <w:rPr>
                      <w:rFonts w:ascii="Times New Roman" w:hAnsi="Times New Roman"/>
                    </w:rPr>
                  </w:pPr>
                  <w:r>
                    <w:rPr>
                      <w:rFonts w:hint="eastAsia" w:ascii="Times New Roman" w:hAnsi="Times New Roman"/>
                    </w:rPr>
                    <w:t>7.38E-03</w:t>
                  </w:r>
                </w:p>
              </w:tc>
              <w:tc>
                <w:tcPr>
                  <w:tcW w:w="589" w:type="pct"/>
                  <w:vAlign w:val="center"/>
                </w:tcPr>
                <w:p>
                  <w:pPr>
                    <w:jc w:val="center"/>
                    <w:rPr>
                      <w:rFonts w:ascii="Times New Roman" w:hAnsi="Times New Roman"/>
                    </w:rPr>
                  </w:pPr>
                  <w:r>
                    <w:rPr>
                      <w:rFonts w:hint="eastAsia" w:ascii="Times New Roman" w:hAnsi="Times New Roman"/>
                    </w:rPr>
                    <w:t>0.37</w:t>
                  </w:r>
                </w:p>
              </w:tc>
              <w:tc>
                <w:tcPr>
                  <w:tcW w:w="882" w:type="pct"/>
                  <w:vAlign w:val="center"/>
                </w:tcPr>
                <w:p>
                  <w:pPr>
                    <w:jc w:val="center"/>
                    <w:rPr>
                      <w:rFonts w:ascii="Times New Roman" w:hAnsi="Times New Roman"/>
                    </w:rPr>
                  </w:pPr>
                  <w:r>
                    <w:rPr>
                      <w:rFonts w:hint="eastAsia" w:ascii="Times New Roman" w:hAnsi="Times New Roman"/>
                    </w:rPr>
                    <w:t>1400</w:t>
                  </w:r>
                </w:p>
              </w:tc>
              <w:tc>
                <w:tcPr>
                  <w:tcW w:w="1029" w:type="pct"/>
                  <w:vAlign w:val="center"/>
                </w:tcPr>
                <w:p>
                  <w:pPr>
                    <w:jc w:val="center"/>
                    <w:rPr>
                      <w:rFonts w:ascii="Times New Roman" w:hAnsi="Times New Roman"/>
                    </w:rPr>
                  </w:pPr>
                  <w:r>
                    <w:rPr>
                      <w:rFonts w:hint="eastAsia" w:ascii="Times New Roman" w:hAnsi="Times New Roman"/>
                    </w:rPr>
                    <w:t>6.40E-02</w:t>
                  </w:r>
                </w:p>
              </w:tc>
              <w:tc>
                <w:tcPr>
                  <w:tcW w:w="589" w:type="pct"/>
                  <w:vAlign w:val="center"/>
                </w:tcPr>
                <w:p>
                  <w:pPr>
                    <w:jc w:val="center"/>
                    <w:rPr>
                      <w:rFonts w:ascii="Times New Roman" w:hAnsi="Times New Roman"/>
                    </w:rPr>
                  </w:pPr>
                  <w:r>
                    <w:rPr>
                      <w:rFonts w:hint="eastAsia" w:ascii="Times New Roman" w:hAnsi="Times New Roman"/>
                    </w:rPr>
                    <w:t>3.2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1425</w:t>
                  </w:r>
                </w:p>
              </w:tc>
              <w:tc>
                <w:tcPr>
                  <w:tcW w:w="1029" w:type="pct"/>
                  <w:vAlign w:val="center"/>
                </w:tcPr>
                <w:p>
                  <w:pPr>
                    <w:jc w:val="center"/>
                    <w:rPr>
                      <w:rFonts w:ascii="Times New Roman" w:hAnsi="Times New Roman"/>
                    </w:rPr>
                  </w:pPr>
                  <w:r>
                    <w:rPr>
                      <w:rFonts w:hint="eastAsia" w:ascii="Times New Roman" w:hAnsi="Times New Roman"/>
                    </w:rPr>
                    <w:t>7.22E-03</w:t>
                  </w:r>
                </w:p>
              </w:tc>
              <w:tc>
                <w:tcPr>
                  <w:tcW w:w="589" w:type="pct"/>
                  <w:vAlign w:val="center"/>
                </w:tcPr>
                <w:p>
                  <w:pPr>
                    <w:jc w:val="center"/>
                    <w:rPr>
                      <w:rFonts w:ascii="Times New Roman" w:hAnsi="Times New Roman"/>
                    </w:rPr>
                  </w:pPr>
                  <w:r>
                    <w:rPr>
                      <w:rFonts w:hint="eastAsia" w:ascii="Times New Roman" w:hAnsi="Times New Roman"/>
                    </w:rPr>
                    <w:t>0.36</w:t>
                  </w:r>
                </w:p>
              </w:tc>
              <w:tc>
                <w:tcPr>
                  <w:tcW w:w="882" w:type="pct"/>
                  <w:vAlign w:val="center"/>
                </w:tcPr>
                <w:p>
                  <w:pPr>
                    <w:jc w:val="center"/>
                    <w:rPr>
                      <w:rFonts w:ascii="Times New Roman" w:hAnsi="Times New Roman"/>
                    </w:rPr>
                  </w:pPr>
                  <w:r>
                    <w:rPr>
                      <w:rFonts w:hint="eastAsia" w:ascii="Times New Roman" w:hAnsi="Times New Roman"/>
                    </w:rPr>
                    <w:t>1425</w:t>
                  </w:r>
                </w:p>
              </w:tc>
              <w:tc>
                <w:tcPr>
                  <w:tcW w:w="1029" w:type="pct"/>
                  <w:vAlign w:val="center"/>
                </w:tcPr>
                <w:p>
                  <w:pPr>
                    <w:jc w:val="center"/>
                    <w:rPr>
                      <w:rFonts w:ascii="Times New Roman" w:hAnsi="Times New Roman"/>
                    </w:rPr>
                  </w:pPr>
                  <w:r>
                    <w:rPr>
                      <w:rFonts w:hint="eastAsia" w:ascii="Times New Roman" w:hAnsi="Times New Roman"/>
                    </w:rPr>
                    <w:t>6.26E-02</w:t>
                  </w:r>
                </w:p>
              </w:tc>
              <w:tc>
                <w:tcPr>
                  <w:tcW w:w="589" w:type="pct"/>
                  <w:vAlign w:val="center"/>
                </w:tcPr>
                <w:p>
                  <w:pPr>
                    <w:jc w:val="center"/>
                    <w:rPr>
                      <w:rFonts w:ascii="Times New Roman" w:hAnsi="Times New Roman"/>
                    </w:rPr>
                  </w:pPr>
                  <w:r>
                    <w:rPr>
                      <w:rFonts w:hint="eastAsia" w:ascii="Times New Roman" w:hAnsi="Times New Roman"/>
                    </w:rPr>
                    <w:t>3.13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1450</w:t>
                  </w:r>
                </w:p>
              </w:tc>
              <w:tc>
                <w:tcPr>
                  <w:tcW w:w="1029" w:type="pct"/>
                  <w:vAlign w:val="center"/>
                </w:tcPr>
                <w:p>
                  <w:pPr>
                    <w:jc w:val="center"/>
                    <w:rPr>
                      <w:rFonts w:ascii="Times New Roman" w:hAnsi="Times New Roman"/>
                    </w:rPr>
                  </w:pPr>
                  <w:r>
                    <w:rPr>
                      <w:rFonts w:hint="eastAsia" w:ascii="Times New Roman" w:hAnsi="Times New Roman"/>
                    </w:rPr>
                    <w:t>7.06E-03</w:t>
                  </w:r>
                </w:p>
              </w:tc>
              <w:tc>
                <w:tcPr>
                  <w:tcW w:w="589" w:type="pct"/>
                  <w:vAlign w:val="center"/>
                </w:tcPr>
                <w:p>
                  <w:pPr>
                    <w:jc w:val="center"/>
                    <w:rPr>
                      <w:rFonts w:ascii="Times New Roman" w:hAnsi="Times New Roman"/>
                    </w:rPr>
                  </w:pPr>
                  <w:r>
                    <w:rPr>
                      <w:rFonts w:hint="eastAsia" w:ascii="Times New Roman" w:hAnsi="Times New Roman"/>
                    </w:rPr>
                    <w:t>0.35</w:t>
                  </w:r>
                </w:p>
              </w:tc>
              <w:tc>
                <w:tcPr>
                  <w:tcW w:w="882" w:type="pct"/>
                  <w:vAlign w:val="center"/>
                </w:tcPr>
                <w:p>
                  <w:pPr>
                    <w:jc w:val="center"/>
                    <w:rPr>
                      <w:rFonts w:ascii="Times New Roman" w:hAnsi="Times New Roman"/>
                    </w:rPr>
                  </w:pPr>
                  <w:r>
                    <w:rPr>
                      <w:rFonts w:hint="eastAsia" w:ascii="Times New Roman" w:hAnsi="Times New Roman"/>
                    </w:rPr>
                    <w:t>1450</w:t>
                  </w:r>
                </w:p>
              </w:tc>
              <w:tc>
                <w:tcPr>
                  <w:tcW w:w="1029" w:type="pct"/>
                  <w:vAlign w:val="center"/>
                </w:tcPr>
                <w:p>
                  <w:pPr>
                    <w:jc w:val="center"/>
                    <w:rPr>
                      <w:rFonts w:ascii="Times New Roman" w:hAnsi="Times New Roman"/>
                    </w:rPr>
                  </w:pPr>
                  <w:r>
                    <w:rPr>
                      <w:rFonts w:hint="eastAsia" w:ascii="Times New Roman" w:hAnsi="Times New Roman"/>
                    </w:rPr>
                    <w:t>6.13E-02</w:t>
                  </w:r>
                </w:p>
              </w:tc>
              <w:tc>
                <w:tcPr>
                  <w:tcW w:w="589" w:type="pct"/>
                  <w:vAlign w:val="center"/>
                </w:tcPr>
                <w:p>
                  <w:pPr>
                    <w:jc w:val="center"/>
                    <w:rPr>
                      <w:rFonts w:ascii="Times New Roman" w:hAnsi="Times New Roman"/>
                    </w:rPr>
                  </w:pPr>
                  <w:r>
                    <w:rPr>
                      <w:rFonts w:hint="eastAsia" w:ascii="Times New Roman" w:hAnsi="Times New Roman"/>
                    </w:rPr>
                    <w:t>3.07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1475</w:t>
                  </w:r>
                </w:p>
              </w:tc>
              <w:tc>
                <w:tcPr>
                  <w:tcW w:w="1029" w:type="pct"/>
                  <w:vAlign w:val="center"/>
                </w:tcPr>
                <w:p>
                  <w:pPr>
                    <w:jc w:val="center"/>
                    <w:rPr>
                      <w:rFonts w:ascii="Times New Roman" w:hAnsi="Times New Roman"/>
                    </w:rPr>
                  </w:pPr>
                  <w:r>
                    <w:rPr>
                      <w:rFonts w:hint="eastAsia" w:ascii="Times New Roman" w:hAnsi="Times New Roman"/>
                    </w:rPr>
                    <w:t>6.91E-03</w:t>
                  </w:r>
                </w:p>
              </w:tc>
              <w:tc>
                <w:tcPr>
                  <w:tcW w:w="589" w:type="pct"/>
                  <w:vAlign w:val="center"/>
                </w:tcPr>
                <w:p>
                  <w:pPr>
                    <w:jc w:val="center"/>
                    <w:rPr>
                      <w:rFonts w:ascii="Times New Roman" w:hAnsi="Times New Roman"/>
                    </w:rPr>
                  </w:pPr>
                  <w:r>
                    <w:rPr>
                      <w:rFonts w:hint="eastAsia" w:ascii="Times New Roman" w:hAnsi="Times New Roman"/>
                    </w:rPr>
                    <w:t>0.35</w:t>
                  </w:r>
                </w:p>
              </w:tc>
              <w:tc>
                <w:tcPr>
                  <w:tcW w:w="882" w:type="pct"/>
                  <w:vAlign w:val="center"/>
                </w:tcPr>
                <w:p>
                  <w:pPr>
                    <w:jc w:val="center"/>
                    <w:rPr>
                      <w:rFonts w:ascii="Times New Roman" w:hAnsi="Times New Roman"/>
                    </w:rPr>
                  </w:pPr>
                  <w:r>
                    <w:rPr>
                      <w:rFonts w:hint="eastAsia" w:ascii="Times New Roman" w:hAnsi="Times New Roman"/>
                    </w:rPr>
                    <w:t>1475</w:t>
                  </w:r>
                </w:p>
              </w:tc>
              <w:tc>
                <w:tcPr>
                  <w:tcW w:w="1029" w:type="pct"/>
                  <w:vAlign w:val="center"/>
                </w:tcPr>
                <w:p>
                  <w:pPr>
                    <w:jc w:val="center"/>
                    <w:rPr>
                      <w:rFonts w:ascii="Times New Roman" w:hAnsi="Times New Roman"/>
                    </w:rPr>
                  </w:pPr>
                  <w:r>
                    <w:rPr>
                      <w:rFonts w:hint="eastAsia" w:ascii="Times New Roman" w:hAnsi="Times New Roman"/>
                    </w:rPr>
                    <w:t>6.00E-02</w:t>
                  </w:r>
                </w:p>
              </w:tc>
              <w:tc>
                <w:tcPr>
                  <w:tcW w:w="589" w:type="pct"/>
                  <w:vAlign w:val="center"/>
                </w:tcPr>
                <w:p>
                  <w:pPr>
                    <w:jc w:val="center"/>
                    <w:rPr>
                      <w:rFonts w:ascii="Times New Roman" w:hAnsi="Times New Roman"/>
                    </w:rPr>
                  </w:pPr>
                  <w:r>
                    <w:rPr>
                      <w:rFonts w:hint="eastAsia" w:ascii="Times New Roman" w:hAnsi="Times New Roman"/>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1500</w:t>
                  </w:r>
                </w:p>
              </w:tc>
              <w:tc>
                <w:tcPr>
                  <w:tcW w:w="1029" w:type="pct"/>
                  <w:vAlign w:val="center"/>
                </w:tcPr>
                <w:p>
                  <w:pPr>
                    <w:jc w:val="center"/>
                    <w:rPr>
                      <w:rFonts w:ascii="Times New Roman" w:hAnsi="Times New Roman"/>
                    </w:rPr>
                  </w:pPr>
                  <w:r>
                    <w:rPr>
                      <w:rFonts w:hint="eastAsia" w:ascii="Times New Roman" w:hAnsi="Times New Roman"/>
                    </w:rPr>
                    <w:t>6.77E-03</w:t>
                  </w:r>
                </w:p>
              </w:tc>
              <w:tc>
                <w:tcPr>
                  <w:tcW w:w="589" w:type="pct"/>
                  <w:vAlign w:val="center"/>
                </w:tcPr>
                <w:p>
                  <w:pPr>
                    <w:jc w:val="center"/>
                    <w:rPr>
                      <w:rFonts w:ascii="Times New Roman" w:hAnsi="Times New Roman"/>
                    </w:rPr>
                  </w:pPr>
                  <w:r>
                    <w:rPr>
                      <w:rFonts w:hint="eastAsia" w:ascii="Times New Roman" w:hAnsi="Times New Roman"/>
                    </w:rPr>
                    <w:t>0.34</w:t>
                  </w:r>
                </w:p>
              </w:tc>
              <w:tc>
                <w:tcPr>
                  <w:tcW w:w="882" w:type="pct"/>
                  <w:vAlign w:val="center"/>
                </w:tcPr>
                <w:p>
                  <w:pPr>
                    <w:jc w:val="center"/>
                    <w:rPr>
                      <w:rFonts w:ascii="Times New Roman" w:hAnsi="Times New Roman"/>
                    </w:rPr>
                  </w:pPr>
                  <w:r>
                    <w:rPr>
                      <w:rFonts w:hint="eastAsia" w:ascii="Times New Roman" w:hAnsi="Times New Roman"/>
                    </w:rPr>
                    <w:t>1500</w:t>
                  </w:r>
                </w:p>
              </w:tc>
              <w:tc>
                <w:tcPr>
                  <w:tcW w:w="1029" w:type="pct"/>
                  <w:vAlign w:val="center"/>
                </w:tcPr>
                <w:p>
                  <w:pPr>
                    <w:jc w:val="center"/>
                    <w:rPr>
                      <w:rFonts w:ascii="Times New Roman" w:hAnsi="Times New Roman"/>
                    </w:rPr>
                  </w:pPr>
                  <w:r>
                    <w:rPr>
                      <w:rFonts w:hint="eastAsia" w:ascii="Times New Roman" w:hAnsi="Times New Roman"/>
                    </w:rPr>
                    <w:t>5.88E-02</w:t>
                  </w:r>
                </w:p>
              </w:tc>
              <w:tc>
                <w:tcPr>
                  <w:tcW w:w="589" w:type="pct"/>
                  <w:vAlign w:val="center"/>
                </w:tcPr>
                <w:p>
                  <w:pPr>
                    <w:jc w:val="center"/>
                    <w:rPr>
                      <w:rFonts w:ascii="Times New Roman" w:hAnsi="Times New Roman"/>
                    </w:rPr>
                  </w:pPr>
                  <w:r>
                    <w:rPr>
                      <w:rFonts w:hint="eastAsia" w:ascii="Times New Roman" w:hAnsi="Times New Roman"/>
                    </w:rPr>
                    <w:t>2.94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1525</w:t>
                  </w:r>
                </w:p>
              </w:tc>
              <w:tc>
                <w:tcPr>
                  <w:tcW w:w="1029" w:type="pct"/>
                  <w:vAlign w:val="center"/>
                </w:tcPr>
                <w:p>
                  <w:pPr>
                    <w:jc w:val="center"/>
                    <w:rPr>
                      <w:rFonts w:ascii="Times New Roman" w:hAnsi="Times New Roman"/>
                    </w:rPr>
                  </w:pPr>
                  <w:r>
                    <w:rPr>
                      <w:rFonts w:hint="eastAsia" w:ascii="Times New Roman" w:hAnsi="Times New Roman"/>
                    </w:rPr>
                    <w:t>6.63E-03</w:t>
                  </w:r>
                </w:p>
              </w:tc>
              <w:tc>
                <w:tcPr>
                  <w:tcW w:w="589" w:type="pct"/>
                  <w:vAlign w:val="center"/>
                </w:tcPr>
                <w:p>
                  <w:pPr>
                    <w:jc w:val="center"/>
                    <w:rPr>
                      <w:rFonts w:ascii="Times New Roman" w:hAnsi="Times New Roman"/>
                    </w:rPr>
                  </w:pPr>
                  <w:r>
                    <w:rPr>
                      <w:rFonts w:hint="eastAsia" w:ascii="Times New Roman" w:hAnsi="Times New Roman"/>
                    </w:rPr>
                    <w:t>0.33</w:t>
                  </w:r>
                </w:p>
              </w:tc>
              <w:tc>
                <w:tcPr>
                  <w:tcW w:w="882" w:type="pct"/>
                  <w:vAlign w:val="center"/>
                </w:tcPr>
                <w:p>
                  <w:pPr>
                    <w:jc w:val="center"/>
                    <w:rPr>
                      <w:rFonts w:ascii="Times New Roman" w:hAnsi="Times New Roman"/>
                    </w:rPr>
                  </w:pPr>
                  <w:r>
                    <w:rPr>
                      <w:rFonts w:hint="eastAsia" w:ascii="Times New Roman" w:hAnsi="Times New Roman"/>
                    </w:rPr>
                    <w:t>1525</w:t>
                  </w:r>
                </w:p>
              </w:tc>
              <w:tc>
                <w:tcPr>
                  <w:tcW w:w="1029" w:type="pct"/>
                  <w:vAlign w:val="center"/>
                </w:tcPr>
                <w:p>
                  <w:pPr>
                    <w:jc w:val="center"/>
                    <w:rPr>
                      <w:rFonts w:ascii="Times New Roman" w:hAnsi="Times New Roman"/>
                    </w:rPr>
                  </w:pPr>
                  <w:r>
                    <w:rPr>
                      <w:rFonts w:hint="eastAsia" w:ascii="Times New Roman" w:hAnsi="Times New Roman"/>
                    </w:rPr>
                    <w:t>5.76E-02</w:t>
                  </w:r>
                </w:p>
              </w:tc>
              <w:tc>
                <w:tcPr>
                  <w:tcW w:w="589" w:type="pct"/>
                  <w:vAlign w:val="center"/>
                </w:tcPr>
                <w:p>
                  <w:pPr>
                    <w:jc w:val="center"/>
                    <w:rPr>
                      <w:rFonts w:ascii="Times New Roman" w:hAnsi="Times New Roman"/>
                    </w:rPr>
                  </w:pPr>
                  <w:r>
                    <w:rPr>
                      <w:rFonts w:hint="eastAsia" w:ascii="Times New Roman" w:hAnsi="Times New Roman"/>
                    </w:rPr>
                    <w:t>2.88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1550</w:t>
                  </w:r>
                </w:p>
              </w:tc>
              <w:tc>
                <w:tcPr>
                  <w:tcW w:w="1029" w:type="pct"/>
                  <w:vAlign w:val="center"/>
                </w:tcPr>
                <w:p>
                  <w:pPr>
                    <w:jc w:val="center"/>
                    <w:rPr>
                      <w:rFonts w:ascii="Times New Roman" w:hAnsi="Times New Roman"/>
                    </w:rPr>
                  </w:pPr>
                  <w:r>
                    <w:rPr>
                      <w:rFonts w:hint="eastAsia" w:ascii="Times New Roman" w:hAnsi="Times New Roman"/>
                    </w:rPr>
                    <w:t>6.50E-03</w:t>
                  </w:r>
                </w:p>
              </w:tc>
              <w:tc>
                <w:tcPr>
                  <w:tcW w:w="589" w:type="pct"/>
                  <w:vAlign w:val="center"/>
                </w:tcPr>
                <w:p>
                  <w:pPr>
                    <w:jc w:val="center"/>
                    <w:rPr>
                      <w:rFonts w:ascii="Times New Roman" w:hAnsi="Times New Roman"/>
                    </w:rPr>
                  </w:pPr>
                  <w:r>
                    <w:rPr>
                      <w:rFonts w:hint="eastAsia" w:ascii="Times New Roman" w:hAnsi="Times New Roman"/>
                    </w:rPr>
                    <w:t>0.32</w:t>
                  </w:r>
                </w:p>
              </w:tc>
              <w:tc>
                <w:tcPr>
                  <w:tcW w:w="882" w:type="pct"/>
                  <w:vAlign w:val="center"/>
                </w:tcPr>
                <w:p>
                  <w:pPr>
                    <w:jc w:val="center"/>
                    <w:rPr>
                      <w:rFonts w:ascii="Times New Roman" w:hAnsi="Times New Roman"/>
                    </w:rPr>
                  </w:pPr>
                  <w:r>
                    <w:rPr>
                      <w:rFonts w:hint="eastAsia" w:ascii="Times New Roman" w:hAnsi="Times New Roman"/>
                    </w:rPr>
                    <w:t>1550</w:t>
                  </w:r>
                </w:p>
              </w:tc>
              <w:tc>
                <w:tcPr>
                  <w:tcW w:w="1029" w:type="pct"/>
                  <w:vAlign w:val="center"/>
                </w:tcPr>
                <w:p>
                  <w:pPr>
                    <w:jc w:val="center"/>
                    <w:rPr>
                      <w:rFonts w:ascii="Times New Roman" w:hAnsi="Times New Roman"/>
                    </w:rPr>
                  </w:pPr>
                  <w:r>
                    <w:rPr>
                      <w:rFonts w:hint="eastAsia" w:ascii="Times New Roman" w:hAnsi="Times New Roman"/>
                    </w:rPr>
                    <w:t>5.64E-02</w:t>
                  </w:r>
                </w:p>
              </w:tc>
              <w:tc>
                <w:tcPr>
                  <w:tcW w:w="589" w:type="pct"/>
                  <w:vAlign w:val="center"/>
                </w:tcPr>
                <w:p>
                  <w:pPr>
                    <w:jc w:val="center"/>
                    <w:rPr>
                      <w:rFonts w:ascii="Times New Roman" w:hAnsi="Times New Roman"/>
                    </w:rPr>
                  </w:pPr>
                  <w:r>
                    <w:rPr>
                      <w:rFonts w:hint="eastAsia" w:ascii="Times New Roman" w:hAnsi="Times New Roman"/>
                    </w:rPr>
                    <w:t>2.82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1575</w:t>
                  </w:r>
                </w:p>
              </w:tc>
              <w:tc>
                <w:tcPr>
                  <w:tcW w:w="1029" w:type="pct"/>
                  <w:vAlign w:val="center"/>
                </w:tcPr>
                <w:p>
                  <w:pPr>
                    <w:jc w:val="center"/>
                    <w:rPr>
                      <w:rFonts w:ascii="Times New Roman" w:hAnsi="Times New Roman"/>
                    </w:rPr>
                  </w:pPr>
                  <w:r>
                    <w:rPr>
                      <w:rFonts w:hint="eastAsia" w:ascii="Times New Roman" w:hAnsi="Times New Roman"/>
                    </w:rPr>
                    <w:t>6.37E-03</w:t>
                  </w:r>
                </w:p>
              </w:tc>
              <w:tc>
                <w:tcPr>
                  <w:tcW w:w="589" w:type="pct"/>
                  <w:vAlign w:val="center"/>
                </w:tcPr>
                <w:p>
                  <w:pPr>
                    <w:jc w:val="center"/>
                    <w:rPr>
                      <w:rFonts w:ascii="Times New Roman" w:hAnsi="Times New Roman"/>
                    </w:rPr>
                  </w:pPr>
                  <w:r>
                    <w:rPr>
                      <w:rFonts w:hint="eastAsia" w:ascii="Times New Roman" w:hAnsi="Times New Roman"/>
                    </w:rPr>
                    <w:t>0.32</w:t>
                  </w:r>
                </w:p>
              </w:tc>
              <w:tc>
                <w:tcPr>
                  <w:tcW w:w="882" w:type="pct"/>
                  <w:vAlign w:val="center"/>
                </w:tcPr>
                <w:p>
                  <w:pPr>
                    <w:jc w:val="center"/>
                    <w:rPr>
                      <w:rFonts w:ascii="Times New Roman" w:hAnsi="Times New Roman"/>
                    </w:rPr>
                  </w:pPr>
                  <w:r>
                    <w:rPr>
                      <w:rFonts w:hint="eastAsia" w:ascii="Times New Roman" w:hAnsi="Times New Roman"/>
                    </w:rPr>
                    <w:t>1575</w:t>
                  </w:r>
                </w:p>
              </w:tc>
              <w:tc>
                <w:tcPr>
                  <w:tcW w:w="1029" w:type="pct"/>
                  <w:vAlign w:val="center"/>
                </w:tcPr>
                <w:p>
                  <w:pPr>
                    <w:jc w:val="center"/>
                    <w:rPr>
                      <w:rFonts w:ascii="Times New Roman" w:hAnsi="Times New Roman"/>
                    </w:rPr>
                  </w:pPr>
                  <w:r>
                    <w:rPr>
                      <w:rFonts w:hint="eastAsia" w:ascii="Times New Roman" w:hAnsi="Times New Roman"/>
                    </w:rPr>
                    <w:t>5.53E-02</w:t>
                  </w:r>
                </w:p>
              </w:tc>
              <w:tc>
                <w:tcPr>
                  <w:tcW w:w="589" w:type="pct"/>
                  <w:vAlign w:val="center"/>
                </w:tcPr>
                <w:p>
                  <w:pPr>
                    <w:jc w:val="center"/>
                    <w:rPr>
                      <w:rFonts w:ascii="Times New Roman" w:hAnsi="Times New Roman"/>
                    </w:rPr>
                  </w:pPr>
                  <w:r>
                    <w:rPr>
                      <w:rFonts w:hint="eastAsia" w:ascii="Times New Roman" w:hAnsi="Times New Roman"/>
                    </w:rPr>
                    <w:t>2.76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1600</w:t>
                  </w:r>
                </w:p>
              </w:tc>
              <w:tc>
                <w:tcPr>
                  <w:tcW w:w="1029" w:type="pct"/>
                  <w:vAlign w:val="center"/>
                </w:tcPr>
                <w:p>
                  <w:pPr>
                    <w:jc w:val="center"/>
                    <w:rPr>
                      <w:rFonts w:ascii="Times New Roman" w:hAnsi="Times New Roman"/>
                    </w:rPr>
                  </w:pPr>
                  <w:r>
                    <w:rPr>
                      <w:rFonts w:hint="eastAsia" w:ascii="Times New Roman" w:hAnsi="Times New Roman"/>
                    </w:rPr>
                    <w:t>6.25E-03</w:t>
                  </w:r>
                </w:p>
              </w:tc>
              <w:tc>
                <w:tcPr>
                  <w:tcW w:w="589" w:type="pct"/>
                  <w:vAlign w:val="center"/>
                </w:tcPr>
                <w:p>
                  <w:pPr>
                    <w:jc w:val="center"/>
                    <w:rPr>
                      <w:rFonts w:ascii="Times New Roman" w:hAnsi="Times New Roman"/>
                    </w:rPr>
                  </w:pPr>
                  <w:r>
                    <w:rPr>
                      <w:rFonts w:hint="eastAsia" w:ascii="Times New Roman" w:hAnsi="Times New Roman"/>
                    </w:rPr>
                    <w:t>0.31</w:t>
                  </w:r>
                </w:p>
              </w:tc>
              <w:tc>
                <w:tcPr>
                  <w:tcW w:w="882" w:type="pct"/>
                  <w:vAlign w:val="center"/>
                </w:tcPr>
                <w:p>
                  <w:pPr>
                    <w:jc w:val="center"/>
                    <w:rPr>
                      <w:rFonts w:ascii="Times New Roman" w:hAnsi="Times New Roman"/>
                    </w:rPr>
                  </w:pPr>
                  <w:r>
                    <w:rPr>
                      <w:rFonts w:hint="eastAsia" w:ascii="Times New Roman" w:hAnsi="Times New Roman"/>
                    </w:rPr>
                    <w:t>1600</w:t>
                  </w:r>
                </w:p>
              </w:tc>
              <w:tc>
                <w:tcPr>
                  <w:tcW w:w="1029" w:type="pct"/>
                  <w:vAlign w:val="center"/>
                </w:tcPr>
                <w:p>
                  <w:pPr>
                    <w:jc w:val="center"/>
                    <w:rPr>
                      <w:rFonts w:ascii="Times New Roman" w:hAnsi="Times New Roman"/>
                    </w:rPr>
                  </w:pPr>
                  <w:r>
                    <w:rPr>
                      <w:rFonts w:hint="eastAsia" w:ascii="Times New Roman" w:hAnsi="Times New Roman"/>
                    </w:rPr>
                    <w:t>5.42E-02</w:t>
                  </w:r>
                </w:p>
              </w:tc>
              <w:tc>
                <w:tcPr>
                  <w:tcW w:w="589" w:type="pct"/>
                  <w:vAlign w:val="center"/>
                </w:tcPr>
                <w:p>
                  <w:pPr>
                    <w:jc w:val="center"/>
                    <w:rPr>
                      <w:rFonts w:ascii="Times New Roman" w:hAnsi="Times New Roman"/>
                    </w:rPr>
                  </w:pPr>
                  <w:r>
                    <w:rPr>
                      <w:rFonts w:hint="eastAsia" w:ascii="Times New Roman" w:hAnsi="Times New Roman"/>
                    </w:rPr>
                    <w:t>2.71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1625</w:t>
                  </w:r>
                </w:p>
              </w:tc>
              <w:tc>
                <w:tcPr>
                  <w:tcW w:w="1029" w:type="pct"/>
                  <w:vAlign w:val="center"/>
                </w:tcPr>
                <w:p>
                  <w:pPr>
                    <w:jc w:val="center"/>
                    <w:rPr>
                      <w:rFonts w:ascii="Times New Roman" w:hAnsi="Times New Roman"/>
                    </w:rPr>
                  </w:pPr>
                  <w:r>
                    <w:rPr>
                      <w:rFonts w:hint="eastAsia" w:ascii="Times New Roman" w:hAnsi="Times New Roman"/>
                    </w:rPr>
                    <w:t>6.13E-03</w:t>
                  </w:r>
                </w:p>
              </w:tc>
              <w:tc>
                <w:tcPr>
                  <w:tcW w:w="589" w:type="pct"/>
                  <w:vAlign w:val="center"/>
                </w:tcPr>
                <w:p>
                  <w:pPr>
                    <w:jc w:val="center"/>
                    <w:rPr>
                      <w:rFonts w:ascii="Times New Roman" w:hAnsi="Times New Roman"/>
                    </w:rPr>
                  </w:pPr>
                  <w:r>
                    <w:rPr>
                      <w:rFonts w:hint="eastAsia" w:ascii="Times New Roman" w:hAnsi="Times New Roman"/>
                    </w:rPr>
                    <w:t>0.31</w:t>
                  </w:r>
                </w:p>
              </w:tc>
              <w:tc>
                <w:tcPr>
                  <w:tcW w:w="882" w:type="pct"/>
                  <w:vAlign w:val="center"/>
                </w:tcPr>
                <w:p>
                  <w:pPr>
                    <w:jc w:val="center"/>
                    <w:rPr>
                      <w:rFonts w:ascii="Times New Roman" w:hAnsi="Times New Roman"/>
                    </w:rPr>
                  </w:pPr>
                  <w:r>
                    <w:rPr>
                      <w:rFonts w:hint="eastAsia" w:ascii="Times New Roman" w:hAnsi="Times New Roman"/>
                    </w:rPr>
                    <w:t>1625</w:t>
                  </w:r>
                </w:p>
              </w:tc>
              <w:tc>
                <w:tcPr>
                  <w:tcW w:w="1029" w:type="pct"/>
                  <w:vAlign w:val="center"/>
                </w:tcPr>
                <w:p>
                  <w:pPr>
                    <w:jc w:val="center"/>
                    <w:rPr>
                      <w:rFonts w:ascii="Times New Roman" w:hAnsi="Times New Roman"/>
                    </w:rPr>
                  </w:pPr>
                  <w:r>
                    <w:rPr>
                      <w:rFonts w:hint="eastAsia" w:ascii="Times New Roman" w:hAnsi="Times New Roman"/>
                    </w:rPr>
                    <w:t>5.32E-02</w:t>
                  </w:r>
                </w:p>
              </w:tc>
              <w:tc>
                <w:tcPr>
                  <w:tcW w:w="589" w:type="pct"/>
                  <w:vAlign w:val="center"/>
                </w:tcPr>
                <w:p>
                  <w:pPr>
                    <w:jc w:val="center"/>
                    <w:rPr>
                      <w:rFonts w:ascii="Times New Roman" w:hAnsi="Times New Roman"/>
                    </w:rPr>
                  </w:pPr>
                  <w:r>
                    <w:rPr>
                      <w:rFonts w:hint="eastAsia" w:ascii="Times New Roman" w:hAnsi="Times New Roman"/>
                    </w:rPr>
                    <w:t>2.66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1650</w:t>
                  </w:r>
                </w:p>
              </w:tc>
              <w:tc>
                <w:tcPr>
                  <w:tcW w:w="1029" w:type="pct"/>
                  <w:vAlign w:val="center"/>
                </w:tcPr>
                <w:p>
                  <w:pPr>
                    <w:jc w:val="center"/>
                    <w:rPr>
                      <w:rFonts w:ascii="Times New Roman" w:hAnsi="Times New Roman"/>
                    </w:rPr>
                  </w:pPr>
                  <w:r>
                    <w:rPr>
                      <w:rFonts w:hint="eastAsia" w:ascii="Times New Roman" w:hAnsi="Times New Roman"/>
                    </w:rPr>
                    <w:t>6.01E-03</w:t>
                  </w:r>
                </w:p>
              </w:tc>
              <w:tc>
                <w:tcPr>
                  <w:tcW w:w="589" w:type="pct"/>
                  <w:vAlign w:val="center"/>
                </w:tcPr>
                <w:p>
                  <w:pPr>
                    <w:jc w:val="center"/>
                    <w:rPr>
                      <w:rFonts w:ascii="Times New Roman" w:hAnsi="Times New Roman"/>
                    </w:rPr>
                  </w:pPr>
                  <w:r>
                    <w:rPr>
                      <w:rFonts w:hint="eastAsia" w:ascii="Times New Roman" w:hAnsi="Times New Roman"/>
                    </w:rPr>
                    <w:t>0.3</w:t>
                  </w:r>
                </w:p>
              </w:tc>
              <w:tc>
                <w:tcPr>
                  <w:tcW w:w="882" w:type="pct"/>
                  <w:vAlign w:val="center"/>
                </w:tcPr>
                <w:p>
                  <w:pPr>
                    <w:jc w:val="center"/>
                    <w:rPr>
                      <w:rFonts w:ascii="Times New Roman" w:hAnsi="Times New Roman"/>
                    </w:rPr>
                  </w:pPr>
                  <w:r>
                    <w:rPr>
                      <w:rFonts w:hint="eastAsia" w:ascii="Times New Roman" w:hAnsi="Times New Roman"/>
                    </w:rPr>
                    <w:t>1650</w:t>
                  </w:r>
                </w:p>
              </w:tc>
              <w:tc>
                <w:tcPr>
                  <w:tcW w:w="1029" w:type="pct"/>
                  <w:vAlign w:val="center"/>
                </w:tcPr>
                <w:p>
                  <w:pPr>
                    <w:jc w:val="center"/>
                    <w:rPr>
                      <w:rFonts w:ascii="Times New Roman" w:hAnsi="Times New Roman"/>
                    </w:rPr>
                  </w:pPr>
                  <w:r>
                    <w:rPr>
                      <w:rFonts w:hint="eastAsia" w:ascii="Times New Roman" w:hAnsi="Times New Roman"/>
                    </w:rPr>
                    <w:t>5.22E-02</w:t>
                  </w:r>
                </w:p>
              </w:tc>
              <w:tc>
                <w:tcPr>
                  <w:tcW w:w="589" w:type="pct"/>
                  <w:vAlign w:val="center"/>
                </w:tcPr>
                <w:p>
                  <w:pPr>
                    <w:jc w:val="center"/>
                    <w:rPr>
                      <w:rFonts w:ascii="Times New Roman" w:hAnsi="Times New Roman"/>
                    </w:rPr>
                  </w:pPr>
                  <w:r>
                    <w:rPr>
                      <w:rFonts w:hint="eastAsia" w:ascii="Times New Roman" w:hAnsi="Times New Roman"/>
                    </w:rPr>
                    <w:t>2.61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1675</w:t>
                  </w:r>
                </w:p>
              </w:tc>
              <w:tc>
                <w:tcPr>
                  <w:tcW w:w="1029" w:type="pct"/>
                  <w:vAlign w:val="center"/>
                </w:tcPr>
                <w:p>
                  <w:pPr>
                    <w:jc w:val="center"/>
                    <w:rPr>
                      <w:rFonts w:ascii="Times New Roman" w:hAnsi="Times New Roman"/>
                    </w:rPr>
                  </w:pPr>
                  <w:r>
                    <w:rPr>
                      <w:rFonts w:hint="eastAsia" w:ascii="Times New Roman" w:hAnsi="Times New Roman"/>
                    </w:rPr>
                    <w:t>5.90E-03</w:t>
                  </w:r>
                </w:p>
              </w:tc>
              <w:tc>
                <w:tcPr>
                  <w:tcW w:w="589" w:type="pct"/>
                  <w:vAlign w:val="center"/>
                </w:tcPr>
                <w:p>
                  <w:pPr>
                    <w:jc w:val="center"/>
                    <w:rPr>
                      <w:rFonts w:ascii="Times New Roman" w:hAnsi="Times New Roman"/>
                    </w:rPr>
                  </w:pPr>
                  <w:r>
                    <w:rPr>
                      <w:rFonts w:hint="eastAsia" w:ascii="Times New Roman" w:hAnsi="Times New Roman"/>
                    </w:rPr>
                    <w:t>0.29</w:t>
                  </w:r>
                </w:p>
              </w:tc>
              <w:tc>
                <w:tcPr>
                  <w:tcW w:w="882" w:type="pct"/>
                  <w:vAlign w:val="center"/>
                </w:tcPr>
                <w:p>
                  <w:pPr>
                    <w:jc w:val="center"/>
                    <w:rPr>
                      <w:rFonts w:ascii="Times New Roman" w:hAnsi="Times New Roman"/>
                    </w:rPr>
                  </w:pPr>
                  <w:r>
                    <w:rPr>
                      <w:rFonts w:hint="eastAsia" w:ascii="Times New Roman" w:hAnsi="Times New Roman"/>
                    </w:rPr>
                    <w:t>1675</w:t>
                  </w:r>
                </w:p>
              </w:tc>
              <w:tc>
                <w:tcPr>
                  <w:tcW w:w="1029" w:type="pct"/>
                  <w:vAlign w:val="center"/>
                </w:tcPr>
                <w:p>
                  <w:pPr>
                    <w:jc w:val="center"/>
                    <w:rPr>
                      <w:rFonts w:ascii="Times New Roman" w:hAnsi="Times New Roman"/>
                    </w:rPr>
                  </w:pPr>
                  <w:r>
                    <w:rPr>
                      <w:rFonts w:hint="eastAsia" w:ascii="Times New Roman" w:hAnsi="Times New Roman"/>
                    </w:rPr>
                    <w:t>5.12E-02</w:t>
                  </w:r>
                </w:p>
              </w:tc>
              <w:tc>
                <w:tcPr>
                  <w:tcW w:w="589" w:type="pct"/>
                  <w:vAlign w:val="center"/>
                </w:tcPr>
                <w:p>
                  <w:pPr>
                    <w:jc w:val="center"/>
                    <w:rPr>
                      <w:rFonts w:ascii="Times New Roman" w:hAnsi="Times New Roman"/>
                    </w:rPr>
                  </w:pPr>
                  <w:r>
                    <w:rPr>
                      <w:rFonts w:hint="eastAsia" w:ascii="Times New Roman" w:hAnsi="Times New Roman"/>
                    </w:rPr>
                    <w:t>2.56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1700</w:t>
                  </w:r>
                </w:p>
              </w:tc>
              <w:tc>
                <w:tcPr>
                  <w:tcW w:w="1029" w:type="pct"/>
                  <w:vAlign w:val="center"/>
                </w:tcPr>
                <w:p>
                  <w:pPr>
                    <w:jc w:val="center"/>
                    <w:rPr>
                      <w:rFonts w:ascii="Times New Roman" w:hAnsi="Times New Roman"/>
                    </w:rPr>
                  </w:pPr>
                  <w:r>
                    <w:rPr>
                      <w:rFonts w:hint="eastAsia" w:ascii="Times New Roman" w:hAnsi="Times New Roman"/>
                    </w:rPr>
                    <w:t>5.79E-03</w:t>
                  </w:r>
                </w:p>
              </w:tc>
              <w:tc>
                <w:tcPr>
                  <w:tcW w:w="589" w:type="pct"/>
                  <w:vAlign w:val="center"/>
                </w:tcPr>
                <w:p>
                  <w:pPr>
                    <w:jc w:val="center"/>
                    <w:rPr>
                      <w:rFonts w:ascii="Times New Roman" w:hAnsi="Times New Roman"/>
                    </w:rPr>
                  </w:pPr>
                  <w:r>
                    <w:rPr>
                      <w:rFonts w:hint="eastAsia" w:ascii="Times New Roman" w:hAnsi="Times New Roman"/>
                    </w:rPr>
                    <w:t>0.29</w:t>
                  </w:r>
                </w:p>
              </w:tc>
              <w:tc>
                <w:tcPr>
                  <w:tcW w:w="882" w:type="pct"/>
                  <w:vAlign w:val="center"/>
                </w:tcPr>
                <w:p>
                  <w:pPr>
                    <w:jc w:val="center"/>
                    <w:rPr>
                      <w:rFonts w:ascii="Times New Roman" w:hAnsi="Times New Roman"/>
                    </w:rPr>
                  </w:pPr>
                  <w:r>
                    <w:rPr>
                      <w:rFonts w:hint="eastAsia" w:ascii="Times New Roman" w:hAnsi="Times New Roman"/>
                    </w:rPr>
                    <w:t>1700</w:t>
                  </w:r>
                </w:p>
              </w:tc>
              <w:tc>
                <w:tcPr>
                  <w:tcW w:w="1029" w:type="pct"/>
                  <w:vAlign w:val="center"/>
                </w:tcPr>
                <w:p>
                  <w:pPr>
                    <w:jc w:val="center"/>
                    <w:rPr>
                      <w:rFonts w:ascii="Times New Roman" w:hAnsi="Times New Roman"/>
                    </w:rPr>
                  </w:pPr>
                  <w:r>
                    <w:rPr>
                      <w:rFonts w:hint="eastAsia" w:ascii="Times New Roman" w:hAnsi="Times New Roman"/>
                    </w:rPr>
                    <w:t>5.02E-02</w:t>
                  </w:r>
                </w:p>
              </w:tc>
              <w:tc>
                <w:tcPr>
                  <w:tcW w:w="589" w:type="pct"/>
                  <w:vAlign w:val="center"/>
                </w:tcPr>
                <w:p>
                  <w:pPr>
                    <w:jc w:val="center"/>
                    <w:rPr>
                      <w:rFonts w:ascii="Times New Roman" w:hAnsi="Times New Roman"/>
                    </w:rPr>
                  </w:pPr>
                  <w:r>
                    <w:rPr>
                      <w:rFonts w:hint="eastAsia" w:ascii="Times New Roman" w:hAnsi="Times New Roman"/>
                    </w:rPr>
                    <w:t>2.51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1725</w:t>
                  </w:r>
                </w:p>
              </w:tc>
              <w:tc>
                <w:tcPr>
                  <w:tcW w:w="1029" w:type="pct"/>
                  <w:vAlign w:val="center"/>
                </w:tcPr>
                <w:p>
                  <w:pPr>
                    <w:jc w:val="center"/>
                    <w:rPr>
                      <w:rFonts w:ascii="Times New Roman" w:hAnsi="Times New Roman"/>
                    </w:rPr>
                  </w:pPr>
                  <w:r>
                    <w:rPr>
                      <w:rFonts w:hint="eastAsia" w:ascii="Times New Roman" w:hAnsi="Times New Roman"/>
                    </w:rPr>
                    <w:t>5.68E-03</w:t>
                  </w:r>
                </w:p>
              </w:tc>
              <w:tc>
                <w:tcPr>
                  <w:tcW w:w="589" w:type="pct"/>
                  <w:vAlign w:val="center"/>
                </w:tcPr>
                <w:p>
                  <w:pPr>
                    <w:jc w:val="center"/>
                    <w:rPr>
                      <w:rFonts w:ascii="Times New Roman" w:hAnsi="Times New Roman"/>
                    </w:rPr>
                  </w:pPr>
                  <w:r>
                    <w:rPr>
                      <w:rFonts w:hint="eastAsia" w:ascii="Times New Roman" w:hAnsi="Times New Roman"/>
                    </w:rPr>
                    <w:t>0.28</w:t>
                  </w:r>
                </w:p>
              </w:tc>
              <w:tc>
                <w:tcPr>
                  <w:tcW w:w="882" w:type="pct"/>
                  <w:vAlign w:val="center"/>
                </w:tcPr>
                <w:p>
                  <w:pPr>
                    <w:jc w:val="center"/>
                    <w:rPr>
                      <w:rFonts w:ascii="Times New Roman" w:hAnsi="Times New Roman"/>
                    </w:rPr>
                  </w:pPr>
                  <w:r>
                    <w:rPr>
                      <w:rFonts w:hint="eastAsia" w:ascii="Times New Roman" w:hAnsi="Times New Roman"/>
                    </w:rPr>
                    <w:t>1725</w:t>
                  </w:r>
                </w:p>
              </w:tc>
              <w:tc>
                <w:tcPr>
                  <w:tcW w:w="1029" w:type="pct"/>
                  <w:vAlign w:val="center"/>
                </w:tcPr>
                <w:p>
                  <w:pPr>
                    <w:jc w:val="center"/>
                    <w:rPr>
                      <w:rFonts w:ascii="Times New Roman" w:hAnsi="Times New Roman"/>
                    </w:rPr>
                  </w:pPr>
                  <w:r>
                    <w:rPr>
                      <w:rFonts w:hint="eastAsia" w:ascii="Times New Roman" w:hAnsi="Times New Roman"/>
                    </w:rPr>
                    <w:t>4.93E-02</w:t>
                  </w:r>
                </w:p>
              </w:tc>
              <w:tc>
                <w:tcPr>
                  <w:tcW w:w="589" w:type="pct"/>
                  <w:vAlign w:val="center"/>
                </w:tcPr>
                <w:p>
                  <w:pPr>
                    <w:jc w:val="center"/>
                    <w:rPr>
                      <w:rFonts w:ascii="Times New Roman" w:hAnsi="Times New Roman"/>
                    </w:rPr>
                  </w:pPr>
                  <w:r>
                    <w:rPr>
                      <w:rFonts w:hint="eastAsia" w:ascii="Times New Roman" w:hAnsi="Times New Roman"/>
                    </w:rPr>
                    <w:t>2.47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1750</w:t>
                  </w:r>
                </w:p>
              </w:tc>
              <w:tc>
                <w:tcPr>
                  <w:tcW w:w="1029" w:type="pct"/>
                  <w:vAlign w:val="center"/>
                </w:tcPr>
                <w:p>
                  <w:pPr>
                    <w:jc w:val="center"/>
                    <w:rPr>
                      <w:rFonts w:ascii="Times New Roman" w:hAnsi="Times New Roman"/>
                    </w:rPr>
                  </w:pPr>
                  <w:r>
                    <w:rPr>
                      <w:rFonts w:hint="eastAsia" w:ascii="Times New Roman" w:hAnsi="Times New Roman"/>
                    </w:rPr>
                    <w:t>5.58E-03</w:t>
                  </w:r>
                </w:p>
              </w:tc>
              <w:tc>
                <w:tcPr>
                  <w:tcW w:w="589" w:type="pct"/>
                  <w:vAlign w:val="center"/>
                </w:tcPr>
                <w:p>
                  <w:pPr>
                    <w:jc w:val="center"/>
                    <w:rPr>
                      <w:rFonts w:ascii="Times New Roman" w:hAnsi="Times New Roman"/>
                    </w:rPr>
                  </w:pPr>
                  <w:r>
                    <w:rPr>
                      <w:rFonts w:hint="eastAsia" w:ascii="Times New Roman" w:hAnsi="Times New Roman"/>
                    </w:rPr>
                    <w:t>0.28</w:t>
                  </w:r>
                </w:p>
              </w:tc>
              <w:tc>
                <w:tcPr>
                  <w:tcW w:w="882" w:type="pct"/>
                  <w:vAlign w:val="center"/>
                </w:tcPr>
                <w:p>
                  <w:pPr>
                    <w:jc w:val="center"/>
                    <w:rPr>
                      <w:rFonts w:ascii="Times New Roman" w:hAnsi="Times New Roman"/>
                    </w:rPr>
                  </w:pPr>
                  <w:r>
                    <w:rPr>
                      <w:rFonts w:hint="eastAsia" w:ascii="Times New Roman" w:hAnsi="Times New Roman"/>
                    </w:rPr>
                    <w:t>1750</w:t>
                  </w:r>
                </w:p>
              </w:tc>
              <w:tc>
                <w:tcPr>
                  <w:tcW w:w="1029" w:type="pct"/>
                  <w:vAlign w:val="center"/>
                </w:tcPr>
                <w:p>
                  <w:pPr>
                    <w:jc w:val="center"/>
                    <w:rPr>
                      <w:rFonts w:ascii="Times New Roman" w:hAnsi="Times New Roman"/>
                    </w:rPr>
                  </w:pPr>
                  <w:r>
                    <w:rPr>
                      <w:rFonts w:hint="eastAsia" w:ascii="Times New Roman" w:hAnsi="Times New Roman"/>
                    </w:rPr>
                    <w:t>4.84E-02</w:t>
                  </w:r>
                </w:p>
              </w:tc>
              <w:tc>
                <w:tcPr>
                  <w:tcW w:w="589" w:type="pct"/>
                  <w:vAlign w:val="center"/>
                </w:tcPr>
                <w:p>
                  <w:pPr>
                    <w:jc w:val="center"/>
                    <w:rPr>
                      <w:rFonts w:ascii="Times New Roman" w:hAnsi="Times New Roman"/>
                    </w:rPr>
                  </w:pPr>
                  <w:r>
                    <w:rPr>
                      <w:rFonts w:hint="eastAsia" w:ascii="Times New Roman" w:hAnsi="Times New Roman"/>
                    </w:rPr>
                    <w:t>2.42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1775</w:t>
                  </w:r>
                </w:p>
              </w:tc>
              <w:tc>
                <w:tcPr>
                  <w:tcW w:w="1029" w:type="pct"/>
                  <w:vAlign w:val="center"/>
                </w:tcPr>
                <w:p>
                  <w:pPr>
                    <w:jc w:val="center"/>
                    <w:rPr>
                      <w:rFonts w:ascii="Times New Roman" w:hAnsi="Times New Roman"/>
                    </w:rPr>
                  </w:pPr>
                  <w:r>
                    <w:rPr>
                      <w:rFonts w:hint="eastAsia" w:ascii="Times New Roman" w:hAnsi="Times New Roman"/>
                    </w:rPr>
                    <w:t>5.48E-03</w:t>
                  </w:r>
                </w:p>
              </w:tc>
              <w:tc>
                <w:tcPr>
                  <w:tcW w:w="589" w:type="pct"/>
                  <w:vAlign w:val="center"/>
                </w:tcPr>
                <w:p>
                  <w:pPr>
                    <w:jc w:val="center"/>
                    <w:rPr>
                      <w:rFonts w:ascii="Times New Roman" w:hAnsi="Times New Roman"/>
                    </w:rPr>
                  </w:pPr>
                  <w:r>
                    <w:rPr>
                      <w:rFonts w:hint="eastAsia" w:ascii="Times New Roman" w:hAnsi="Times New Roman"/>
                    </w:rPr>
                    <w:t>0.27</w:t>
                  </w:r>
                </w:p>
              </w:tc>
              <w:tc>
                <w:tcPr>
                  <w:tcW w:w="882" w:type="pct"/>
                  <w:vAlign w:val="center"/>
                </w:tcPr>
                <w:p>
                  <w:pPr>
                    <w:jc w:val="center"/>
                    <w:rPr>
                      <w:rFonts w:ascii="Times New Roman" w:hAnsi="Times New Roman"/>
                    </w:rPr>
                  </w:pPr>
                  <w:r>
                    <w:rPr>
                      <w:rFonts w:hint="eastAsia" w:ascii="Times New Roman" w:hAnsi="Times New Roman"/>
                    </w:rPr>
                    <w:t>1775</w:t>
                  </w:r>
                </w:p>
              </w:tc>
              <w:tc>
                <w:tcPr>
                  <w:tcW w:w="1029" w:type="pct"/>
                  <w:vAlign w:val="center"/>
                </w:tcPr>
                <w:p>
                  <w:pPr>
                    <w:jc w:val="center"/>
                    <w:rPr>
                      <w:rFonts w:ascii="Times New Roman" w:hAnsi="Times New Roman"/>
                    </w:rPr>
                  </w:pPr>
                  <w:r>
                    <w:rPr>
                      <w:rFonts w:hint="eastAsia" w:ascii="Times New Roman" w:hAnsi="Times New Roman"/>
                    </w:rPr>
                    <w:t>4.76E-02</w:t>
                  </w:r>
                </w:p>
              </w:tc>
              <w:tc>
                <w:tcPr>
                  <w:tcW w:w="589" w:type="pct"/>
                  <w:vAlign w:val="center"/>
                </w:tcPr>
                <w:p>
                  <w:pPr>
                    <w:jc w:val="center"/>
                    <w:rPr>
                      <w:rFonts w:ascii="Times New Roman" w:hAnsi="Times New Roman"/>
                    </w:rPr>
                  </w:pPr>
                  <w:r>
                    <w:rPr>
                      <w:rFonts w:hint="eastAsia" w:ascii="Times New Roman" w:hAnsi="Times New Roman"/>
                    </w:rPr>
                    <w:t>2.38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1800</w:t>
                  </w:r>
                </w:p>
              </w:tc>
              <w:tc>
                <w:tcPr>
                  <w:tcW w:w="1029" w:type="pct"/>
                  <w:vAlign w:val="center"/>
                </w:tcPr>
                <w:p>
                  <w:pPr>
                    <w:jc w:val="center"/>
                    <w:rPr>
                      <w:rFonts w:ascii="Times New Roman" w:hAnsi="Times New Roman"/>
                    </w:rPr>
                  </w:pPr>
                  <w:r>
                    <w:rPr>
                      <w:rFonts w:hint="eastAsia" w:ascii="Times New Roman" w:hAnsi="Times New Roman"/>
                    </w:rPr>
                    <w:t>5.38E-03</w:t>
                  </w:r>
                </w:p>
              </w:tc>
              <w:tc>
                <w:tcPr>
                  <w:tcW w:w="589" w:type="pct"/>
                  <w:vAlign w:val="center"/>
                </w:tcPr>
                <w:p>
                  <w:pPr>
                    <w:jc w:val="center"/>
                    <w:rPr>
                      <w:rFonts w:ascii="Times New Roman" w:hAnsi="Times New Roman"/>
                    </w:rPr>
                  </w:pPr>
                  <w:r>
                    <w:rPr>
                      <w:rFonts w:hint="eastAsia" w:ascii="Times New Roman" w:hAnsi="Times New Roman"/>
                    </w:rPr>
                    <w:t>0.27</w:t>
                  </w:r>
                </w:p>
              </w:tc>
              <w:tc>
                <w:tcPr>
                  <w:tcW w:w="882" w:type="pct"/>
                  <w:vAlign w:val="center"/>
                </w:tcPr>
                <w:p>
                  <w:pPr>
                    <w:jc w:val="center"/>
                    <w:rPr>
                      <w:rFonts w:ascii="Times New Roman" w:hAnsi="Times New Roman"/>
                    </w:rPr>
                  </w:pPr>
                  <w:r>
                    <w:rPr>
                      <w:rFonts w:hint="eastAsia" w:ascii="Times New Roman" w:hAnsi="Times New Roman"/>
                    </w:rPr>
                    <w:t>1800</w:t>
                  </w:r>
                </w:p>
              </w:tc>
              <w:tc>
                <w:tcPr>
                  <w:tcW w:w="1029" w:type="pct"/>
                  <w:vAlign w:val="center"/>
                </w:tcPr>
                <w:p>
                  <w:pPr>
                    <w:jc w:val="center"/>
                    <w:rPr>
                      <w:rFonts w:ascii="Times New Roman" w:hAnsi="Times New Roman"/>
                    </w:rPr>
                  </w:pPr>
                  <w:r>
                    <w:rPr>
                      <w:rFonts w:hint="eastAsia" w:ascii="Times New Roman" w:hAnsi="Times New Roman"/>
                    </w:rPr>
                    <w:t>4.67E-02</w:t>
                  </w:r>
                </w:p>
              </w:tc>
              <w:tc>
                <w:tcPr>
                  <w:tcW w:w="589" w:type="pct"/>
                  <w:vAlign w:val="center"/>
                </w:tcPr>
                <w:p>
                  <w:pPr>
                    <w:jc w:val="center"/>
                    <w:rPr>
                      <w:rFonts w:ascii="Times New Roman" w:hAnsi="Times New Roman"/>
                    </w:rPr>
                  </w:pPr>
                  <w:r>
                    <w:rPr>
                      <w:rFonts w:hint="eastAsia" w:ascii="Times New Roman" w:hAnsi="Times New Roman"/>
                    </w:rPr>
                    <w:t>2.34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1825</w:t>
                  </w:r>
                </w:p>
              </w:tc>
              <w:tc>
                <w:tcPr>
                  <w:tcW w:w="1029" w:type="pct"/>
                  <w:vAlign w:val="center"/>
                </w:tcPr>
                <w:p>
                  <w:pPr>
                    <w:jc w:val="center"/>
                    <w:rPr>
                      <w:rFonts w:ascii="Times New Roman" w:hAnsi="Times New Roman"/>
                    </w:rPr>
                  </w:pPr>
                  <w:r>
                    <w:rPr>
                      <w:rFonts w:hint="eastAsia" w:ascii="Times New Roman" w:hAnsi="Times New Roman"/>
                    </w:rPr>
                    <w:t>5.29E-03</w:t>
                  </w:r>
                </w:p>
              </w:tc>
              <w:tc>
                <w:tcPr>
                  <w:tcW w:w="589" w:type="pct"/>
                  <w:vAlign w:val="center"/>
                </w:tcPr>
                <w:p>
                  <w:pPr>
                    <w:jc w:val="center"/>
                    <w:rPr>
                      <w:rFonts w:ascii="Times New Roman" w:hAnsi="Times New Roman"/>
                    </w:rPr>
                  </w:pPr>
                  <w:r>
                    <w:rPr>
                      <w:rFonts w:hint="eastAsia" w:ascii="Times New Roman" w:hAnsi="Times New Roman"/>
                    </w:rPr>
                    <w:t>0.26</w:t>
                  </w:r>
                </w:p>
              </w:tc>
              <w:tc>
                <w:tcPr>
                  <w:tcW w:w="882" w:type="pct"/>
                  <w:vAlign w:val="center"/>
                </w:tcPr>
                <w:p>
                  <w:pPr>
                    <w:jc w:val="center"/>
                    <w:rPr>
                      <w:rFonts w:ascii="Times New Roman" w:hAnsi="Times New Roman"/>
                    </w:rPr>
                  </w:pPr>
                  <w:r>
                    <w:rPr>
                      <w:rFonts w:hint="eastAsia" w:ascii="Times New Roman" w:hAnsi="Times New Roman"/>
                    </w:rPr>
                    <w:t>1825</w:t>
                  </w:r>
                </w:p>
              </w:tc>
              <w:tc>
                <w:tcPr>
                  <w:tcW w:w="1029" w:type="pct"/>
                  <w:vAlign w:val="center"/>
                </w:tcPr>
                <w:p>
                  <w:pPr>
                    <w:jc w:val="center"/>
                    <w:rPr>
                      <w:rFonts w:ascii="Times New Roman" w:hAnsi="Times New Roman"/>
                    </w:rPr>
                  </w:pPr>
                  <w:r>
                    <w:rPr>
                      <w:rFonts w:hint="eastAsia" w:ascii="Times New Roman" w:hAnsi="Times New Roman"/>
                    </w:rPr>
                    <w:t>4.59E-02</w:t>
                  </w:r>
                </w:p>
              </w:tc>
              <w:tc>
                <w:tcPr>
                  <w:tcW w:w="589" w:type="pct"/>
                  <w:vAlign w:val="center"/>
                </w:tcPr>
                <w:p>
                  <w:pPr>
                    <w:jc w:val="center"/>
                    <w:rPr>
                      <w:rFonts w:ascii="Times New Roman" w:hAnsi="Times New Roman"/>
                    </w:rPr>
                  </w:pPr>
                  <w:r>
                    <w:rPr>
                      <w:rFonts w:hint="eastAsia" w:ascii="Times New Roman" w:hAnsi="Times New Roman"/>
                    </w:rPr>
                    <w:t>2.3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1850</w:t>
                  </w:r>
                </w:p>
              </w:tc>
              <w:tc>
                <w:tcPr>
                  <w:tcW w:w="1029" w:type="pct"/>
                  <w:vAlign w:val="center"/>
                </w:tcPr>
                <w:p>
                  <w:pPr>
                    <w:jc w:val="center"/>
                    <w:rPr>
                      <w:rFonts w:ascii="Times New Roman" w:hAnsi="Times New Roman"/>
                    </w:rPr>
                  </w:pPr>
                  <w:r>
                    <w:rPr>
                      <w:rFonts w:hint="eastAsia" w:ascii="Times New Roman" w:hAnsi="Times New Roman"/>
                    </w:rPr>
                    <w:t>5.20E-03</w:t>
                  </w:r>
                </w:p>
              </w:tc>
              <w:tc>
                <w:tcPr>
                  <w:tcW w:w="589" w:type="pct"/>
                  <w:vAlign w:val="center"/>
                </w:tcPr>
                <w:p>
                  <w:pPr>
                    <w:jc w:val="center"/>
                    <w:rPr>
                      <w:rFonts w:ascii="Times New Roman" w:hAnsi="Times New Roman"/>
                    </w:rPr>
                  </w:pPr>
                  <w:r>
                    <w:rPr>
                      <w:rFonts w:hint="eastAsia" w:ascii="Times New Roman" w:hAnsi="Times New Roman"/>
                    </w:rPr>
                    <w:t>0.26</w:t>
                  </w:r>
                </w:p>
              </w:tc>
              <w:tc>
                <w:tcPr>
                  <w:tcW w:w="882" w:type="pct"/>
                  <w:vAlign w:val="center"/>
                </w:tcPr>
                <w:p>
                  <w:pPr>
                    <w:jc w:val="center"/>
                    <w:rPr>
                      <w:rFonts w:ascii="Times New Roman" w:hAnsi="Times New Roman"/>
                    </w:rPr>
                  </w:pPr>
                  <w:r>
                    <w:rPr>
                      <w:rFonts w:hint="eastAsia" w:ascii="Times New Roman" w:hAnsi="Times New Roman"/>
                    </w:rPr>
                    <w:t>1850</w:t>
                  </w:r>
                </w:p>
              </w:tc>
              <w:tc>
                <w:tcPr>
                  <w:tcW w:w="1029" w:type="pct"/>
                  <w:vAlign w:val="center"/>
                </w:tcPr>
                <w:p>
                  <w:pPr>
                    <w:jc w:val="center"/>
                    <w:rPr>
                      <w:rFonts w:ascii="Times New Roman" w:hAnsi="Times New Roman"/>
                    </w:rPr>
                  </w:pPr>
                  <w:r>
                    <w:rPr>
                      <w:rFonts w:hint="eastAsia" w:ascii="Times New Roman" w:hAnsi="Times New Roman"/>
                    </w:rPr>
                    <w:t>4.51E-02</w:t>
                  </w:r>
                </w:p>
              </w:tc>
              <w:tc>
                <w:tcPr>
                  <w:tcW w:w="589" w:type="pct"/>
                  <w:vAlign w:val="center"/>
                </w:tcPr>
                <w:p>
                  <w:pPr>
                    <w:jc w:val="center"/>
                    <w:rPr>
                      <w:rFonts w:ascii="Times New Roman" w:hAnsi="Times New Roman"/>
                    </w:rPr>
                  </w:pPr>
                  <w:r>
                    <w:rPr>
                      <w:rFonts w:hint="eastAsia" w:ascii="Times New Roman" w:hAnsi="Times New Roman"/>
                    </w:rPr>
                    <w:t>2.26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1875</w:t>
                  </w:r>
                </w:p>
              </w:tc>
              <w:tc>
                <w:tcPr>
                  <w:tcW w:w="1029" w:type="pct"/>
                  <w:vAlign w:val="center"/>
                </w:tcPr>
                <w:p>
                  <w:pPr>
                    <w:jc w:val="center"/>
                    <w:rPr>
                      <w:rFonts w:ascii="Times New Roman" w:hAnsi="Times New Roman"/>
                    </w:rPr>
                  </w:pPr>
                  <w:r>
                    <w:rPr>
                      <w:rFonts w:hint="eastAsia" w:ascii="Times New Roman" w:hAnsi="Times New Roman"/>
                    </w:rPr>
                    <w:t>5.11E-03</w:t>
                  </w:r>
                </w:p>
              </w:tc>
              <w:tc>
                <w:tcPr>
                  <w:tcW w:w="589" w:type="pct"/>
                  <w:vAlign w:val="center"/>
                </w:tcPr>
                <w:p>
                  <w:pPr>
                    <w:jc w:val="center"/>
                    <w:rPr>
                      <w:rFonts w:ascii="Times New Roman" w:hAnsi="Times New Roman"/>
                    </w:rPr>
                  </w:pPr>
                  <w:r>
                    <w:rPr>
                      <w:rFonts w:hint="eastAsia" w:ascii="Times New Roman" w:hAnsi="Times New Roman"/>
                    </w:rPr>
                    <w:t>0.26</w:t>
                  </w:r>
                </w:p>
              </w:tc>
              <w:tc>
                <w:tcPr>
                  <w:tcW w:w="882" w:type="pct"/>
                  <w:vAlign w:val="center"/>
                </w:tcPr>
                <w:p>
                  <w:pPr>
                    <w:jc w:val="center"/>
                    <w:rPr>
                      <w:rFonts w:ascii="Times New Roman" w:hAnsi="Times New Roman"/>
                    </w:rPr>
                  </w:pPr>
                  <w:r>
                    <w:rPr>
                      <w:rFonts w:hint="eastAsia" w:ascii="Times New Roman" w:hAnsi="Times New Roman"/>
                    </w:rPr>
                    <w:t>1875</w:t>
                  </w:r>
                </w:p>
              </w:tc>
              <w:tc>
                <w:tcPr>
                  <w:tcW w:w="1029" w:type="pct"/>
                  <w:vAlign w:val="center"/>
                </w:tcPr>
                <w:p>
                  <w:pPr>
                    <w:jc w:val="center"/>
                    <w:rPr>
                      <w:rFonts w:ascii="Times New Roman" w:hAnsi="Times New Roman"/>
                    </w:rPr>
                  </w:pPr>
                  <w:r>
                    <w:rPr>
                      <w:rFonts w:hint="eastAsia" w:ascii="Times New Roman" w:hAnsi="Times New Roman"/>
                    </w:rPr>
                    <w:t>4.44E-02</w:t>
                  </w:r>
                </w:p>
              </w:tc>
              <w:tc>
                <w:tcPr>
                  <w:tcW w:w="589" w:type="pct"/>
                  <w:vAlign w:val="center"/>
                </w:tcPr>
                <w:p>
                  <w:pPr>
                    <w:jc w:val="center"/>
                    <w:rPr>
                      <w:rFonts w:ascii="Times New Roman" w:hAnsi="Times New Roman"/>
                    </w:rPr>
                  </w:pPr>
                  <w:r>
                    <w:rPr>
                      <w:rFonts w:hint="eastAsia" w:ascii="Times New Roman" w:hAnsi="Times New Roman"/>
                    </w:rPr>
                    <w:t>2.22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1900</w:t>
                  </w:r>
                </w:p>
              </w:tc>
              <w:tc>
                <w:tcPr>
                  <w:tcW w:w="1029" w:type="pct"/>
                  <w:vAlign w:val="center"/>
                </w:tcPr>
                <w:p>
                  <w:pPr>
                    <w:jc w:val="center"/>
                    <w:rPr>
                      <w:rFonts w:ascii="Times New Roman" w:hAnsi="Times New Roman"/>
                    </w:rPr>
                  </w:pPr>
                  <w:r>
                    <w:rPr>
                      <w:rFonts w:hint="eastAsia" w:ascii="Times New Roman" w:hAnsi="Times New Roman"/>
                    </w:rPr>
                    <w:t>5.03E-03</w:t>
                  </w:r>
                </w:p>
              </w:tc>
              <w:tc>
                <w:tcPr>
                  <w:tcW w:w="589" w:type="pct"/>
                  <w:vAlign w:val="center"/>
                </w:tcPr>
                <w:p>
                  <w:pPr>
                    <w:jc w:val="center"/>
                    <w:rPr>
                      <w:rFonts w:ascii="Times New Roman" w:hAnsi="Times New Roman"/>
                    </w:rPr>
                  </w:pPr>
                  <w:r>
                    <w:rPr>
                      <w:rFonts w:hint="eastAsia" w:ascii="Times New Roman" w:hAnsi="Times New Roman"/>
                    </w:rPr>
                    <w:t>0.25</w:t>
                  </w:r>
                </w:p>
              </w:tc>
              <w:tc>
                <w:tcPr>
                  <w:tcW w:w="882" w:type="pct"/>
                  <w:vAlign w:val="center"/>
                </w:tcPr>
                <w:p>
                  <w:pPr>
                    <w:jc w:val="center"/>
                    <w:rPr>
                      <w:rFonts w:ascii="Times New Roman" w:hAnsi="Times New Roman"/>
                    </w:rPr>
                  </w:pPr>
                  <w:r>
                    <w:rPr>
                      <w:rFonts w:hint="eastAsia" w:ascii="Times New Roman" w:hAnsi="Times New Roman"/>
                    </w:rPr>
                    <w:t>1900</w:t>
                  </w:r>
                </w:p>
              </w:tc>
              <w:tc>
                <w:tcPr>
                  <w:tcW w:w="1029" w:type="pct"/>
                  <w:vAlign w:val="center"/>
                </w:tcPr>
                <w:p>
                  <w:pPr>
                    <w:jc w:val="center"/>
                    <w:rPr>
                      <w:rFonts w:ascii="Times New Roman" w:hAnsi="Times New Roman"/>
                    </w:rPr>
                  </w:pPr>
                  <w:r>
                    <w:rPr>
                      <w:rFonts w:hint="eastAsia" w:ascii="Times New Roman" w:hAnsi="Times New Roman"/>
                    </w:rPr>
                    <w:t>4.36E-02</w:t>
                  </w:r>
                </w:p>
              </w:tc>
              <w:tc>
                <w:tcPr>
                  <w:tcW w:w="589" w:type="pct"/>
                  <w:vAlign w:val="center"/>
                </w:tcPr>
                <w:p>
                  <w:pPr>
                    <w:jc w:val="center"/>
                    <w:rPr>
                      <w:rFonts w:ascii="Times New Roman" w:hAnsi="Times New Roman"/>
                    </w:rPr>
                  </w:pPr>
                  <w:r>
                    <w:rPr>
                      <w:rFonts w:hint="eastAsia" w:ascii="Times New Roman" w:hAnsi="Times New Roman"/>
                    </w:rPr>
                    <w:t>2.18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1925</w:t>
                  </w:r>
                </w:p>
              </w:tc>
              <w:tc>
                <w:tcPr>
                  <w:tcW w:w="1029" w:type="pct"/>
                  <w:vAlign w:val="center"/>
                </w:tcPr>
                <w:p>
                  <w:pPr>
                    <w:jc w:val="center"/>
                    <w:rPr>
                      <w:rFonts w:ascii="Times New Roman" w:hAnsi="Times New Roman"/>
                    </w:rPr>
                  </w:pPr>
                  <w:r>
                    <w:rPr>
                      <w:rFonts w:hint="eastAsia" w:ascii="Times New Roman" w:hAnsi="Times New Roman"/>
                    </w:rPr>
                    <w:t>4.94E-03</w:t>
                  </w:r>
                </w:p>
              </w:tc>
              <w:tc>
                <w:tcPr>
                  <w:tcW w:w="589" w:type="pct"/>
                  <w:vAlign w:val="center"/>
                </w:tcPr>
                <w:p>
                  <w:pPr>
                    <w:jc w:val="center"/>
                    <w:rPr>
                      <w:rFonts w:ascii="Times New Roman" w:hAnsi="Times New Roman"/>
                    </w:rPr>
                  </w:pPr>
                  <w:r>
                    <w:rPr>
                      <w:rFonts w:hint="eastAsia" w:ascii="Times New Roman" w:hAnsi="Times New Roman"/>
                    </w:rPr>
                    <w:t>0.25</w:t>
                  </w:r>
                </w:p>
              </w:tc>
              <w:tc>
                <w:tcPr>
                  <w:tcW w:w="882" w:type="pct"/>
                  <w:vAlign w:val="center"/>
                </w:tcPr>
                <w:p>
                  <w:pPr>
                    <w:jc w:val="center"/>
                    <w:rPr>
                      <w:rFonts w:ascii="Times New Roman" w:hAnsi="Times New Roman"/>
                    </w:rPr>
                  </w:pPr>
                  <w:r>
                    <w:rPr>
                      <w:rFonts w:hint="eastAsia" w:ascii="Times New Roman" w:hAnsi="Times New Roman"/>
                    </w:rPr>
                    <w:t>1925</w:t>
                  </w:r>
                </w:p>
              </w:tc>
              <w:tc>
                <w:tcPr>
                  <w:tcW w:w="1029" w:type="pct"/>
                  <w:vAlign w:val="center"/>
                </w:tcPr>
                <w:p>
                  <w:pPr>
                    <w:jc w:val="center"/>
                    <w:rPr>
                      <w:rFonts w:ascii="Times New Roman" w:hAnsi="Times New Roman"/>
                    </w:rPr>
                  </w:pPr>
                  <w:r>
                    <w:rPr>
                      <w:rFonts w:hint="eastAsia" w:ascii="Times New Roman" w:hAnsi="Times New Roman"/>
                    </w:rPr>
                    <w:t>4.29E-02</w:t>
                  </w:r>
                </w:p>
              </w:tc>
              <w:tc>
                <w:tcPr>
                  <w:tcW w:w="589" w:type="pct"/>
                  <w:vAlign w:val="center"/>
                </w:tcPr>
                <w:p>
                  <w:pPr>
                    <w:jc w:val="center"/>
                    <w:rPr>
                      <w:rFonts w:ascii="Times New Roman" w:hAnsi="Times New Roman"/>
                    </w:rPr>
                  </w:pPr>
                  <w:r>
                    <w:rPr>
                      <w:rFonts w:hint="eastAsia" w:ascii="Times New Roman" w:hAnsi="Times New Roman"/>
                    </w:rPr>
                    <w:t>2.15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1950</w:t>
                  </w:r>
                </w:p>
              </w:tc>
              <w:tc>
                <w:tcPr>
                  <w:tcW w:w="1029" w:type="pct"/>
                  <w:vAlign w:val="center"/>
                </w:tcPr>
                <w:p>
                  <w:pPr>
                    <w:jc w:val="center"/>
                    <w:rPr>
                      <w:rFonts w:ascii="Times New Roman" w:hAnsi="Times New Roman"/>
                    </w:rPr>
                  </w:pPr>
                  <w:r>
                    <w:rPr>
                      <w:rFonts w:hint="eastAsia" w:ascii="Times New Roman" w:hAnsi="Times New Roman"/>
                    </w:rPr>
                    <w:t>4.86E-03</w:t>
                  </w:r>
                </w:p>
              </w:tc>
              <w:tc>
                <w:tcPr>
                  <w:tcW w:w="589" w:type="pct"/>
                  <w:vAlign w:val="center"/>
                </w:tcPr>
                <w:p>
                  <w:pPr>
                    <w:jc w:val="center"/>
                    <w:rPr>
                      <w:rFonts w:ascii="Times New Roman" w:hAnsi="Times New Roman"/>
                    </w:rPr>
                  </w:pPr>
                  <w:r>
                    <w:rPr>
                      <w:rFonts w:hint="eastAsia" w:ascii="Times New Roman" w:hAnsi="Times New Roman"/>
                    </w:rPr>
                    <w:t>0.24</w:t>
                  </w:r>
                </w:p>
              </w:tc>
              <w:tc>
                <w:tcPr>
                  <w:tcW w:w="882" w:type="pct"/>
                  <w:vAlign w:val="center"/>
                </w:tcPr>
                <w:p>
                  <w:pPr>
                    <w:jc w:val="center"/>
                    <w:rPr>
                      <w:rFonts w:ascii="Times New Roman" w:hAnsi="Times New Roman"/>
                    </w:rPr>
                  </w:pPr>
                  <w:r>
                    <w:rPr>
                      <w:rFonts w:hint="eastAsia" w:ascii="Times New Roman" w:hAnsi="Times New Roman"/>
                    </w:rPr>
                    <w:t>1950</w:t>
                  </w:r>
                </w:p>
              </w:tc>
              <w:tc>
                <w:tcPr>
                  <w:tcW w:w="1029" w:type="pct"/>
                  <w:vAlign w:val="center"/>
                </w:tcPr>
                <w:p>
                  <w:pPr>
                    <w:jc w:val="center"/>
                    <w:rPr>
                      <w:rFonts w:ascii="Times New Roman" w:hAnsi="Times New Roman"/>
                    </w:rPr>
                  </w:pPr>
                  <w:r>
                    <w:rPr>
                      <w:rFonts w:hint="eastAsia" w:ascii="Times New Roman" w:hAnsi="Times New Roman"/>
                    </w:rPr>
                    <w:t>4.22E-02</w:t>
                  </w:r>
                </w:p>
              </w:tc>
              <w:tc>
                <w:tcPr>
                  <w:tcW w:w="589" w:type="pct"/>
                  <w:vAlign w:val="center"/>
                </w:tcPr>
                <w:p>
                  <w:pPr>
                    <w:jc w:val="center"/>
                    <w:rPr>
                      <w:rFonts w:ascii="Times New Roman" w:hAnsi="Times New Roman"/>
                    </w:rPr>
                  </w:pPr>
                  <w:r>
                    <w:rPr>
                      <w:rFonts w:hint="eastAsia" w:ascii="Times New Roman" w:hAnsi="Times New Roman"/>
                    </w:rPr>
                    <w:t>2.11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1975</w:t>
                  </w:r>
                </w:p>
              </w:tc>
              <w:tc>
                <w:tcPr>
                  <w:tcW w:w="1029" w:type="pct"/>
                  <w:vAlign w:val="center"/>
                </w:tcPr>
                <w:p>
                  <w:pPr>
                    <w:jc w:val="center"/>
                    <w:rPr>
                      <w:rFonts w:ascii="Times New Roman" w:hAnsi="Times New Roman"/>
                    </w:rPr>
                  </w:pPr>
                  <w:r>
                    <w:rPr>
                      <w:rFonts w:hint="eastAsia" w:ascii="Times New Roman" w:hAnsi="Times New Roman"/>
                    </w:rPr>
                    <w:t>4.79E-03</w:t>
                  </w:r>
                </w:p>
              </w:tc>
              <w:tc>
                <w:tcPr>
                  <w:tcW w:w="589" w:type="pct"/>
                  <w:vAlign w:val="center"/>
                </w:tcPr>
                <w:p>
                  <w:pPr>
                    <w:jc w:val="center"/>
                    <w:rPr>
                      <w:rFonts w:ascii="Times New Roman" w:hAnsi="Times New Roman"/>
                    </w:rPr>
                  </w:pPr>
                  <w:r>
                    <w:rPr>
                      <w:rFonts w:hint="eastAsia" w:ascii="Times New Roman" w:hAnsi="Times New Roman"/>
                    </w:rPr>
                    <w:t>0.24</w:t>
                  </w:r>
                </w:p>
              </w:tc>
              <w:tc>
                <w:tcPr>
                  <w:tcW w:w="882" w:type="pct"/>
                  <w:vAlign w:val="center"/>
                </w:tcPr>
                <w:p>
                  <w:pPr>
                    <w:jc w:val="center"/>
                    <w:rPr>
                      <w:rFonts w:ascii="Times New Roman" w:hAnsi="Times New Roman"/>
                    </w:rPr>
                  </w:pPr>
                  <w:r>
                    <w:rPr>
                      <w:rFonts w:hint="eastAsia" w:ascii="Times New Roman" w:hAnsi="Times New Roman"/>
                    </w:rPr>
                    <w:t>1975</w:t>
                  </w:r>
                </w:p>
              </w:tc>
              <w:tc>
                <w:tcPr>
                  <w:tcW w:w="1029" w:type="pct"/>
                  <w:vAlign w:val="center"/>
                </w:tcPr>
                <w:p>
                  <w:pPr>
                    <w:jc w:val="center"/>
                    <w:rPr>
                      <w:rFonts w:ascii="Times New Roman" w:hAnsi="Times New Roman"/>
                    </w:rPr>
                  </w:pPr>
                  <w:r>
                    <w:rPr>
                      <w:rFonts w:hint="eastAsia" w:ascii="Times New Roman" w:hAnsi="Times New Roman"/>
                    </w:rPr>
                    <w:t>4.15E-02</w:t>
                  </w:r>
                </w:p>
              </w:tc>
              <w:tc>
                <w:tcPr>
                  <w:tcW w:w="589" w:type="pct"/>
                  <w:vAlign w:val="center"/>
                </w:tcPr>
                <w:p>
                  <w:pPr>
                    <w:jc w:val="center"/>
                    <w:rPr>
                      <w:rFonts w:ascii="Times New Roman" w:hAnsi="Times New Roman"/>
                    </w:rPr>
                  </w:pPr>
                  <w:r>
                    <w:rPr>
                      <w:rFonts w:hint="eastAsia" w:ascii="Times New Roman" w:hAnsi="Times New Roman"/>
                    </w:rPr>
                    <w:t>2.08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2000</w:t>
                  </w:r>
                </w:p>
              </w:tc>
              <w:tc>
                <w:tcPr>
                  <w:tcW w:w="1029" w:type="pct"/>
                  <w:vAlign w:val="center"/>
                </w:tcPr>
                <w:p>
                  <w:pPr>
                    <w:jc w:val="center"/>
                    <w:rPr>
                      <w:rFonts w:ascii="Times New Roman" w:hAnsi="Times New Roman"/>
                    </w:rPr>
                  </w:pPr>
                  <w:r>
                    <w:rPr>
                      <w:rFonts w:hint="eastAsia" w:ascii="Times New Roman" w:hAnsi="Times New Roman"/>
                    </w:rPr>
                    <w:t>4.71E-03</w:t>
                  </w:r>
                </w:p>
              </w:tc>
              <w:tc>
                <w:tcPr>
                  <w:tcW w:w="589" w:type="pct"/>
                  <w:vAlign w:val="center"/>
                </w:tcPr>
                <w:p>
                  <w:pPr>
                    <w:jc w:val="center"/>
                    <w:rPr>
                      <w:rFonts w:ascii="Times New Roman" w:hAnsi="Times New Roman"/>
                    </w:rPr>
                  </w:pPr>
                  <w:r>
                    <w:rPr>
                      <w:rFonts w:hint="eastAsia" w:ascii="Times New Roman" w:hAnsi="Times New Roman"/>
                    </w:rPr>
                    <w:t>0.24</w:t>
                  </w:r>
                </w:p>
              </w:tc>
              <w:tc>
                <w:tcPr>
                  <w:tcW w:w="882" w:type="pct"/>
                  <w:vAlign w:val="center"/>
                </w:tcPr>
                <w:p>
                  <w:pPr>
                    <w:jc w:val="center"/>
                    <w:rPr>
                      <w:rFonts w:ascii="Times New Roman" w:hAnsi="Times New Roman"/>
                    </w:rPr>
                  </w:pPr>
                  <w:r>
                    <w:rPr>
                      <w:rFonts w:hint="eastAsia" w:ascii="Times New Roman" w:hAnsi="Times New Roman"/>
                    </w:rPr>
                    <w:t>2000</w:t>
                  </w:r>
                </w:p>
              </w:tc>
              <w:tc>
                <w:tcPr>
                  <w:tcW w:w="1029" w:type="pct"/>
                  <w:vAlign w:val="center"/>
                </w:tcPr>
                <w:p>
                  <w:pPr>
                    <w:jc w:val="center"/>
                    <w:rPr>
                      <w:rFonts w:ascii="Times New Roman" w:hAnsi="Times New Roman"/>
                    </w:rPr>
                  </w:pPr>
                  <w:r>
                    <w:rPr>
                      <w:rFonts w:hint="eastAsia" w:ascii="Times New Roman" w:hAnsi="Times New Roman"/>
                    </w:rPr>
                    <w:t>4.09E-02</w:t>
                  </w:r>
                </w:p>
              </w:tc>
              <w:tc>
                <w:tcPr>
                  <w:tcW w:w="589" w:type="pct"/>
                  <w:vAlign w:val="center"/>
                </w:tcPr>
                <w:p>
                  <w:pPr>
                    <w:jc w:val="center"/>
                    <w:rPr>
                      <w:rFonts w:ascii="Times New Roman" w:hAnsi="Times New Roman"/>
                    </w:rPr>
                  </w:pPr>
                  <w:r>
                    <w:rPr>
                      <w:rFonts w:hint="eastAsia" w:ascii="Times New Roman" w:hAnsi="Times New Roman"/>
                    </w:rPr>
                    <w:t>2.04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2025</w:t>
                  </w:r>
                </w:p>
              </w:tc>
              <w:tc>
                <w:tcPr>
                  <w:tcW w:w="1029" w:type="pct"/>
                  <w:vAlign w:val="center"/>
                </w:tcPr>
                <w:p>
                  <w:pPr>
                    <w:jc w:val="center"/>
                    <w:rPr>
                      <w:rFonts w:ascii="Times New Roman" w:hAnsi="Times New Roman"/>
                    </w:rPr>
                  </w:pPr>
                  <w:r>
                    <w:rPr>
                      <w:rFonts w:hint="eastAsia" w:ascii="Times New Roman" w:hAnsi="Times New Roman"/>
                    </w:rPr>
                    <w:t>4.64E-03</w:t>
                  </w:r>
                </w:p>
              </w:tc>
              <w:tc>
                <w:tcPr>
                  <w:tcW w:w="589" w:type="pct"/>
                  <w:vAlign w:val="center"/>
                </w:tcPr>
                <w:p>
                  <w:pPr>
                    <w:jc w:val="center"/>
                    <w:rPr>
                      <w:rFonts w:ascii="Times New Roman" w:hAnsi="Times New Roman"/>
                    </w:rPr>
                  </w:pPr>
                  <w:r>
                    <w:rPr>
                      <w:rFonts w:hint="eastAsia" w:ascii="Times New Roman" w:hAnsi="Times New Roman"/>
                    </w:rPr>
                    <w:t>0.23</w:t>
                  </w:r>
                </w:p>
              </w:tc>
              <w:tc>
                <w:tcPr>
                  <w:tcW w:w="882" w:type="pct"/>
                  <w:vAlign w:val="center"/>
                </w:tcPr>
                <w:p>
                  <w:pPr>
                    <w:jc w:val="center"/>
                    <w:rPr>
                      <w:rFonts w:ascii="Times New Roman" w:hAnsi="Times New Roman"/>
                    </w:rPr>
                  </w:pPr>
                  <w:r>
                    <w:rPr>
                      <w:rFonts w:hint="eastAsia" w:ascii="Times New Roman" w:hAnsi="Times New Roman"/>
                    </w:rPr>
                    <w:t>2025</w:t>
                  </w:r>
                </w:p>
              </w:tc>
              <w:tc>
                <w:tcPr>
                  <w:tcW w:w="1029" w:type="pct"/>
                  <w:vAlign w:val="center"/>
                </w:tcPr>
                <w:p>
                  <w:pPr>
                    <w:jc w:val="center"/>
                    <w:rPr>
                      <w:rFonts w:ascii="Times New Roman" w:hAnsi="Times New Roman"/>
                    </w:rPr>
                  </w:pPr>
                  <w:r>
                    <w:rPr>
                      <w:rFonts w:hint="eastAsia" w:ascii="Times New Roman" w:hAnsi="Times New Roman"/>
                    </w:rPr>
                    <w:t>4.02E-02</w:t>
                  </w:r>
                </w:p>
              </w:tc>
              <w:tc>
                <w:tcPr>
                  <w:tcW w:w="589" w:type="pct"/>
                  <w:vAlign w:val="center"/>
                </w:tcPr>
                <w:p>
                  <w:pPr>
                    <w:jc w:val="center"/>
                    <w:rPr>
                      <w:rFonts w:ascii="Times New Roman" w:hAnsi="Times New Roman"/>
                    </w:rPr>
                  </w:pPr>
                  <w:r>
                    <w:rPr>
                      <w:rFonts w:hint="eastAsia" w:ascii="Times New Roman" w:hAnsi="Times New Roman"/>
                    </w:rPr>
                    <w:t>2.01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2050</w:t>
                  </w:r>
                </w:p>
              </w:tc>
              <w:tc>
                <w:tcPr>
                  <w:tcW w:w="1029" w:type="pct"/>
                  <w:vAlign w:val="center"/>
                </w:tcPr>
                <w:p>
                  <w:pPr>
                    <w:jc w:val="center"/>
                    <w:rPr>
                      <w:rFonts w:ascii="Times New Roman" w:hAnsi="Times New Roman"/>
                    </w:rPr>
                  </w:pPr>
                  <w:r>
                    <w:rPr>
                      <w:rFonts w:hint="eastAsia" w:ascii="Times New Roman" w:hAnsi="Times New Roman"/>
                    </w:rPr>
                    <w:t>4.56E-03</w:t>
                  </w:r>
                </w:p>
              </w:tc>
              <w:tc>
                <w:tcPr>
                  <w:tcW w:w="589" w:type="pct"/>
                  <w:vAlign w:val="center"/>
                </w:tcPr>
                <w:p>
                  <w:pPr>
                    <w:jc w:val="center"/>
                    <w:rPr>
                      <w:rFonts w:ascii="Times New Roman" w:hAnsi="Times New Roman"/>
                    </w:rPr>
                  </w:pPr>
                  <w:r>
                    <w:rPr>
                      <w:rFonts w:hint="eastAsia" w:ascii="Times New Roman" w:hAnsi="Times New Roman"/>
                    </w:rPr>
                    <w:t>0.23</w:t>
                  </w:r>
                </w:p>
              </w:tc>
              <w:tc>
                <w:tcPr>
                  <w:tcW w:w="882" w:type="pct"/>
                  <w:vAlign w:val="center"/>
                </w:tcPr>
                <w:p>
                  <w:pPr>
                    <w:jc w:val="center"/>
                    <w:rPr>
                      <w:rFonts w:ascii="Times New Roman" w:hAnsi="Times New Roman"/>
                    </w:rPr>
                  </w:pPr>
                  <w:r>
                    <w:rPr>
                      <w:rFonts w:hint="eastAsia" w:ascii="Times New Roman" w:hAnsi="Times New Roman"/>
                    </w:rPr>
                    <w:t>2050</w:t>
                  </w:r>
                </w:p>
              </w:tc>
              <w:tc>
                <w:tcPr>
                  <w:tcW w:w="1029" w:type="pct"/>
                  <w:vAlign w:val="center"/>
                </w:tcPr>
                <w:p>
                  <w:pPr>
                    <w:jc w:val="center"/>
                    <w:rPr>
                      <w:rFonts w:ascii="Times New Roman" w:hAnsi="Times New Roman"/>
                    </w:rPr>
                  </w:pPr>
                  <w:r>
                    <w:rPr>
                      <w:rFonts w:hint="eastAsia" w:ascii="Times New Roman" w:hAnsi="Times New Roman"/>
                    </w:rPr>
                    <w:t>3.96E-02</w:t>
                  </w:r>
                </w:p>
              </w:tc>
              <w:tc>
                <w:tcPr>
                  <w:tcW w:w="589" w:type="pct"/>
                  <w:vAlign w:val="center"/>
                </w:tcPr>
                <w:p>
                  <w:pPr>
                    <w:jc w:val="center"/>
                    <w:rPr>
                      <w:rFonts w:ascii="Times New Roman" w:hAnsi="Times New Roman"/>
                    </w:rPr>
                  </w:pPr>
                  <w:r>
                    <w:rPr>
                      <w:rFonts w:hint="eastAsia" w:ascii="Times New Roman" w:hAnsi="Times New Roman"/>
                    </w:rPr>
                    <w:t>1.98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2075</w:t>
                  </w:r>
                </w:p>
              </w:tc>
              <w:tc>
                <w:tcPr>
                  <w:tcW w:w="1029" w:type="pct"/>
                  <w:vAlign w:val="center"/>
                </w:tcPr>
                <w:p>
                  <w:pPr>
                    <w:jc w:val="center"/>
                    <w:rPr>
                      <w:rFonts w:ascii="Times New Roman" w:hAnsi="Times New Roman"/>
                    </w:rPr>
                  </w:pPr>
                  <w:r>
                    <w:rPr>
                      <w:rFonts w:hint="eastAsia" w:ascii="Times New Roman" w:hAnsi="Times New Roman"/>
                    </w:rPr>
                    <w:t>4.49E-03</w:t>
                  </w:r>
                </w:p>
              </w:tc>
              <w:tc>
                <w:tcPr>
                  <w:tcW w:w="589" w:type="pct"/>
                  <w:vAlign w:val="center"/>
                </w:tcPr>
                <w:p>
                  <w:pPr>
                    <w:jc w:val="center"/>
                    <w:rPr>
                      <w:rFonts w:ascii="Times New Roman" w:hAnsi="Times New Roman"/>
                    </w:rPr>
                  </w:pPr>
                  <w:r>
                    <w:rPr>
                      <w:rFonts w:hint="eastAsia" w:ascii="Times New Roman" w:hAnsi="Times New Roman"/>
                    </w:rPr>
                    <w:t>0.22</w:t>
                  </w:r>
                </w:p>
              </w:tc>
              <w:tc>
                <w:tcPr>
                  <w:tcW w:w="882" w:type="pct"/>
                  <w:vAlign w:val="center"/>
                </w:tcPr>
                <w:p>
                  <w:pPr>
                    <w:jc w:val="center"/>
                    <w:rPr>
                      <w:rFonts w:ascii="Times New Roman" w:hAnsi="Times New Roman"/>
                    </w:rPr>
                  </w:pPr>
                  <w:r>
                    <w:rPr>
                      <w:rFonts w:hint="eastAsia" w:ascii="Times New Roman" w:hAnsi="Times New Roman"/>
                    </w:rPr>
                    <w:t>2075</w:t>
                  </w:r>
                </w:p>
              </w:tc>
              <w:tc>
                <w:tcPr>
                  <w:tcW w:w="1029" w:type="pct"/>
                  <w:vAlign w:val="center"/>
                </w:tcPr>
                <w:p>
                  <w:pPr>
                    <w:jc w:val="center"/>
                    <w:rPr>
                      <w:rFonts w:ascii="Times New Roman" w:hAnsi="Times New Roman"/>
                    </w:rPr>
                  </w:pPr>
                  <w:r>
                    <w:rPr>
                      <w:rFonts w:hint="eastAsia" w:ascii="Times New Roman" w:hAnsi="Times New Roman"/>
                    </w:rPr>
                    <w:t>3.90E-02</w:t>
                  </w:r>
                </w:p>
              </w:tc>
              <w:tc>
                <w:tcPr>
                  <w:tcW w:w="589" w:type="pct"/>
                  <w:vAlign w:val="center"/>
                </w:tcPr>
                <w:p>
                  <w:pPr>
                    <w:jc w:val="center"/>
                    <w:rPr>
                      <w:rFonts w:ascii="Times New Roman" w:hAnsi="Times New Roman"/>
                    </w:rPr>
                  </w:pPr>
                  <w:r>
                    <w:rPr>
                      <w:rFonts w:hint="eastAsia" w:ascii="Times New Roman" w:hAnsi="Times New Roman"/>
                    </w:rPr>
                    <w:t>1.95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2100</w:t>
                  </w:r>
                </w:p>
              </w:tc>
              <w:tc>
                <w:tcPr>
                  <w:tcW w:w="1029" w:type="pct"/>
                  <w:vAlign w:val="center"/>
                </w:tcPr>
                <w:p>
                  <w:pPr>
                    <w:jc w:val="center"/>
                    <w:rPr>
                      <w:rFonts w:ascii="Times New Roman" w:hAnsi="Times New Roman"/>
                    </w:rPr>
                  </w:pPr>
                  <w:r>
                    <w:rPr>
                      <w:rFonts w:hint="eastAsia" w:ascii="Times New Roman" w:hAnsi="Times New Roman"/>
                    </w:rPr>
                    <w:t>4.42E-03</w:t>
                  </w:r>
                </w:p>
              </w:tc>
              <w:tc>
                <w:tcPr>
                  <w:tcW w:w="589" w:type="pct"/>
                  <w:vAlign w:val="center"/>
                </w:tcPr>
                <w:p>
                  <w:pPr>
                    <w:jc w:val="center"/>
                    <w:rPr>
                      <w:rFonts w:ascii="Times New Roman" w:hAnsi="Times New Roman"/>
                    </w:rPr>
                  </w:pPr>
                  <w:r>
                    <w:rPr>
                      <w:rFonts w:hint="eastAsia" w:ascii="Times New Roman" w:hAnsi="Times New Roman"/>
                    </w:rPr>
                    <w:t>0.22</w:t>
                  </w:r>
                </w:p>
              </w:tc>
              <w:tc>
                <w:tcPr>
                  <w:tcW w:w="882" w:type="pct"/>
                  <w:vAlign w:val="center"/>
                </w:tcPr>
                <w:p>
                  <w:pPr>
                    <w:jc w:val="center"/>
                    <w:rPr>
                      <w:rFonts w:ascii="Times New Roman" w:hAnsi="Times New Roman"/>
                    </w:rPr>
                  </w:pPr>
                  <w:r>
                    <w:rPr>
                      <w:rFonts w:hint="eastAsia" w:ascii="Times New Roman" w:hAnsi="Times New Roman"/>
                    </w:rPr>
                    <w:t>2100</w:t>
                  </w:r>
                </w:p>
              </w:tc>
              <w:tc>
                <w:tcPr>
                  <w:tcW w:w="1029" w:type="pct"/>
                  <w:vAlign w:val="center"/>
                </w:tcPr>
                <w:p>
                  <w:pPr>
                    <w:jc w:val="center"/>
                    <w:rPr>
                      <w:rFonts w:ascii="Times New Roman" w:hAnsi="Times New Roman"/>
                    </w:rPr>
                  </w:pPr>
                  <w:r>
                    <w:rPr>
                      <w:rFonts w:hint="eastAsia" w:ascii="Times New Roman" w:hAnsi="Times New Roman"/>
                    </w:rPr>
                    <w:t>3.84E-02</w:t>
                  </w:r>
                </w:p>
              </w:tc>
              <w:tc>
                <w:tcPr>
                  <w:tcW w:w="589" w:type="pct"/>
                  <w:vAlign w:val="center"/>
                </w:tcPr>
                <w:p>
                  <w:pPr>
                    <w:jc w:val="center"/>
                    <w:rPr>
                      <w:rFonts w:ascii="Times New Roman" w:hAnsi="Times New Roman"/>
                    </w:rPr>
                  </w:pPr>
                  <w:r>
                    <w:rPr>
                      <w:rFonts w:hint="eastAsia" w:ascii="Times New Roman" w:hAnsi="Times New Roman"/>
                    </w:rPr>
                    <w:t>1.92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2125</w:t>
                  </w:r>
                </w:p>
              </w:tc>
              <w:tc>
                <w:tcPr>
                  <w:tcW w:w="1029" w:type="pct"/>
                  <w:vAlign w:val="center"/>
                </w:tcPr>
                <w:p>
                  <w:pPr>
                    <w:jc w:val="center"/>
                    <w:rPr>
                      <w:rFonts w:ascii="Times New Roman" w:hAnsi="Times New Roman"/>
                    </w:rPr>
                  </w:pPr>
                  <w:r>
                    <w:rPr>
                      <w:rFonts w:hint="eastAsia" w:ascii="Times New Roman" w:hAnsi="Times New Roman"/>
                    </w:rPr>
                    <w:t>4.36E-03</w:t>
                  </w:r>
                </w:p>
              </w:tc>
              <w:tc>
                <w:tcPr>
                  <w:tcW w:w="589" w:type="pct"/>
                  <w:vAlign w:val="center"/>
                </w:tcPr>
                <w:p>
                  <w:pPr>
                    <w:jc w:val="center"/>
                    <w:rPr>
                      <w:rFonts w:ascii="Times New Roman" w:hAnsi="Times New Roman"/>
                    </w:rPr>
                  </w:pPr>
                  <w:r>
                    <w:rPr>
                      <w:rFonts w:hint="eastAsia" w:ascii="Times New Roman" w:hAnsi="Times New Roman"/>
                    </w:rPr>
                    <w:t>0.22</w:t>
                  </w:r>
                </w:p>
              </w:tc>
              <w:tc>
                <w:tcPr>
                  <w:tcW w:w="882" w:type="pct"/>
                  <w:vAlign w:val="center"/>
                </w:tcPr>
                <w:p>
                  <w:pPr>
                    <w:jc w:val="center"/>
                    <w:rPr>
                      <w:rFonts w:ascii="Times New Roman" w:hAnsi="Times New Roman"/>
                    </w:rPr>
                  </w:pPr>
                  <w:r>
                    <w:rPr>
                      <w:rFonts w:hint="eastAsia" w:ascii="Times New Roman" w:hAnsi="Times New Roman"/>
                    </w:rPr>
                    <w:t>2125</w:t>
                  </w:r>
                </w:p>
              </w:tc>
              <w:tc>
                <w:tcPr>
                  <w:tcW w:w="1029" w:type="pct"/>
                  <w:vAlign w:val="center"/>
                </w:tcPr>
                <w:p>
                  <w:pPr>
                    <w:jc w:val="center"/>
                    <w:rPr>
                      <w:rFonts w:ascii="Times New Roman" w:hAnsi="Times New Roman"/>
                    </w:rPr>
                  </w:pPr>
                  <w:r>
                    <w:rPr>
                      <w:rFonts w:hint="eastAsia" w:ascii="Times New Roman" w:hAnsi="Times New Roman"/>
                    </w:rPr>
                    <w:t>3.78E-02</w:t>
                  </w:r>
                </w:p>
              </w:tc>
              <w:tc>
                <w:tcPr>
                  <w:tcW w:w="589" w:type="pct"/>
                  <w:vAlign w:val="center"/>
                </w:tcPr>
                <w:p>
                  <w:pPr>
                    <w:jc w:val="center"/>
                    <w:rPr>
                      <w:rFonts w:ascii="Times New Roman" w:hAnsi="Times New Roman"/>
                    </w:rPr>
                  </w:pPr>
                  <w:r>
                    <w:rPr>
                      <w:rFonts w:hint="eastAsia" w:ascii="Times New Roman" w:hAnsi="Times New Roman"/>
                    </w:rPr>
                    <w:t>1.89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2150</w:t>
                  </w:r>
                </w:p>
              </w:tc>
              <w:tc>
                <w:tcPr>
                  <w:tcW w:w="1029" w:type="pct"/>
                  <w:vAlign w:val="center"/>
                </w:tcPr>
                <w:p>
                  <w:pPr>
                    <w:jc w:val="center"/>
                    <w:rPr>
                      <w:rFonts w:ascii="Times New Roman" w:hAnsi="Times New Roman"/>
                    </w:rPr>
                  </w:pPr>
                  <w:r>
                    <w:rPr>
                      <w:rFonts w:hint="eastAsia" w:ascii="Times New Roman" w:hAnsi="Times New Roman"/>
                    </w:rPr>
                    <w:t>4.29E-03</w:t>
                  </w:r>
                </w:p>
              </w:tc>
              <w:tc>
                <w:tcPr>
                  <w:tcW w:w="589" w:type="pct"/>
                  <w:vAlign w:val="center"/>
                </w:tcPr>
                <w:p>
                  <w:pPr>
                    <w:jc w:val="center"/>
                    <w:rPr>
                      <w:rFonts w:ascii="Times New Roman" w:hAnsi="Times New Roman"/>
                    </w:rPr>
                  </w:pPr>
                  <w:r>
                    <w:rPr>
                      <w:rFonts w:hint="eastAsia" w:ascii="Times New Roman" w:hAnsi="Times New Roman"/>
                    </w:rPr>
                    <w:t>0.21</w:t>
                  </w:r>
                </w:p>
              </w:tc>
              <w:tc>
                <w:tcPr>
                  <w:tcW w:w="882" w:type="pct"/>
                  <w:vAlign w:val="center"/>
                </w:tcPr>
                <w:p>
                  <w:pPr>
                    <w:jc w:val="center"/>
                    <w:rPr>
                      <w:rFonts w:ascii="Times New Roman" w:hAnsi="Times New Roman"/>
                    </w:rPr>
                  </w:pPr>
                  <w:r>
                    <w:rPr>
                      <w:rFonts w:hint="eastAsia" w:ascii="Times New Roman" w:hAnsi="Times New Roman"/>
                    </w:rPr>
                    <w:t>2150</w:t>
                  </w:r>
                </w:p>
              </w:tc>
              <w:tc>
                <w:tcPr>
                  <w:tcW w:w="1029" w:type="pct"/>
                  <w:vAlign w:val="center"/>
                </w:tcPr>
                <w:p>
                  <w:pPr>
                    <w:jc w:val="center"/>
                    <w:rPr>
                      <w:rFonts w:ascii="Times New Roman" w:hAnsi="Times New Roman"/>
                    </w:rPr>
                  </w:pPr>
                  <w:r>
                    <w:rPr>
                      <w:rFonts w:hint="eastAsia" w:ascii="Times New Roman" w:hAnsi="Times New Roman"/>
                    </w:rPr>
                    <w:t>3.73E-02</w:t>
                  </w:r>
                </w:p>
              </w:tc>
              <w:tc>
                <w:tcPr>
                  <w:tcW w:w="589" w:type="pct"/>
                  <w:vAlign w:val="center"/>
                </w:tcPr>
                <w:p>
                  <w:pPr>
                    <w:jc w:val="center"/>
                    <w:rPr>
                      <w:rFonts w:ascii="Times New Roman" w:hAnsi="Times New Roman"/>
                    </w:rPr>
                  </w:pPr>
                  <w:r>
                    <w:rPr>
                      <w:rFonts w:hint="eastAsia" w:ascii="Times New Roman" w:hAnsi="Times New Roman"/>
                    </w:rPr>
                    <w:t>1.86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2175</w:t>
                  </w:r>
                </w:p>
              </w:tc>
              <w:tc>
                <w:tcPr>
                  <w:tcW w:w="1029" w:type="pct"/>
                  <w:vAlign w:val="center"/>
                </w:tcPr>
                <w:p>
                  <w:pPr>
                    <w:jc w:val="center"/>
                    <w:rPr>
                      <w:rFonts w:ascii="Times New Roman" w:hAnsi="Times New Roman"/>
                    </w:rPr>
                  </w:pPr>
                  <w:r>
                    <w:rPr>
                      <w:rFonts w:hint="eastAsia" w:ascii="Times New Roman" w:hAnsi="Times New Roman"/>
                    </w:rPr>
                    <w:t>4.23E-03</w:t>
                  </w:r>
                </w:p>
              </w:tc>
              <w:tc>
                <w:tcPr>
                  <w:tcW w:w="589" w:type="pct"/>
                  <w:vAlign w:val="center"/>
                </w:tcPr>
                <w:p>
                  <w:pPr>
                    <w:jc w:val="center"/>
                    <w:rPr>
                      <w:rFonts w:ascii="Times New Roman" w:hAnsi="Times New Roman"/>
                    </w:rPr>
                  </w:pPr>
                  <w:r>
                    <w:rPr>
                      <w:rFonts w:hint="eastAsia" w:ascii="Times New Roman" w:hAnsi="Times New Roman"/>
                    </w:rPr>
                    <w:t>0.21</w:t>
                  </w:r>
                </w:p>
              </w:tc>
              <w:tc>
                <w:tcPr>
                  <w:tcW w:w="882" w:type="pct"/>
                  <w:vAlign w:val="center"/>
                </w:tcPr>
                <w:p>
                  <w:pPr>
                    <w:jc w:val="center"/>
                    <w:rPr>
                      <w:rFonts w:ascii="Times New Roman" w:hAnsi="Times New Roman"/>
                    </w:rPr>
                  </w:pPr>
                  <w:r>
                    <w:rPr>
                      <w:rFonts w:hint="eastAsia" w:ascii="Times New Roman" w:hAnsi="Times New Roman"/>
                    </w:rPr>
                    <w:t>2175</w:t>
                  </w:r>
                </w:p>
              </w:tc>
              <w:tc>
                <w:tcPr>
                  <w:tcW w:w="1029" w:type="pct"/>
                  <w:vAlign w:val="center"/>
                </w:tcPr>
                <w:p>
                  <w:pPr>
                    <w:jc w:val="center"/>
                    <w:rPr>
                      <w:rFonts w:ascii="Times New Roman" w:hAnsi="Times New Roman"/>
                    </w:rPr>
                  </w:pPr>
                  <w:r>
                    <w:rPr>
                      <w:rFonts w:hint="eastAsia" w:ascii="Times New Roman" w:hAnsi="Times New Roman"/>
                    </w:rPr>
                    <w:t>3.67E-02</w:t>
                  </w:r>
                </w:p>
              </w:tc>
              <w:tc>
                <w:tcPr>
                  <w:tcW w:w="589" w:type="pct"/>
                  <w:vAlign w:val="center"/>
                </w:tcPr>
                <w:p>
                  <w:pPr>
                    <w:jc w:val="center"/>
                    <w:rPr>
                      <w:rFonts w:ascii="Times New Roman" w:hAnsi="Times New Roman"/>
                    </w:rPr>
                  </w:pPr>
                  <w:r>
                    <w:rPr>
                      <w:rFonts w:hint="eastAsia" w:ascii="Times New Roman" w:hAnsi="Times New Roman"/>
                    </w:rPr>
                    <w:t>1.84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2200</w:t>
                  </w:r>
                </w:p>
              </w:tc>
              <w:tc>
                <w:tcPr>
                  <w:tcW w:w="1029" w:type="pct"/>
                  <w:vAlign w:val="center"/>
                </w:tcPr>
                <w:p>
                  <w:pPr>
                    <w:jc w:val="center"/>
                    <w:rPr>
                      <w:rFonts w:ascii="Times New Roman" w:hAnsi="Times New Roman"/>
                    </w:rPr>
                  </w:pPr>
                  <w:r>
                    <w:rPr>
                      <w:rFonts w:hint="eastAsia" w:ascii="Times New Roman" w:hAnsi="Times New Roman"/>
                    </w:rPr>
                    <w:t>4.17E-03</w:t>
                  </w:r>
                </w:p>
              </w:tc>
              <w:tc>
                <w:tcPr>
                  <w:tcW w:w="589" w:type="pct"/>
                  <w:vAlign w:val="center"/>
                </w:tcPr>
                <w:p>
                  <w:pPr>
                    <w:jc w:val="center"/>
                    <w:rPr>
                      <w:rFonts w:ascii="Times New Roman" w:hAnsi="Times New Roman"/>
                    </w:rPr>
                  </w:pPr>
                  <w:r>
                    <w:rPr>
                      <w:rFonts w:hint="eastAsia" w:ascii="Times New Roman" w:hAnsi="Times New Roman"/>
                    </w:rPr>
                    <w:t>0.21</w:t>
                  </w:r>
                </w:p>
              </w:tc>
              <w:tc>
                <w:tcPr>
                  <w:tcW w:w="882" w:type="pct"/>
                  <w:vAlign w:val="center"/>
                </w:tcPr>
                <w:p>
                  <w:pPr>
                    <w:jc w:val="center"/>
                    <w:rPr>
                      <w:rFonts w:ascii="Times New Roman" w:hAnsi="Times New Roman"/>
                    </w:rPr>
                  </w:pPr>
                  <w:r>
                    <w:rPr>
                      <w:rFonts w:hint="eastAsia" w:ascii="Times New Roman" w:hAnsi="Times New Roman"/>
                    </w:rPr>
                    <w:t>2200</w:t>
                  </w:r>
                </w:p>
              </w:tc>
              <w:tc>
                <w:tcPr>
                  <w:tcW w:w="1029" w:type="pct"/>
                  <w:vAlign w:val="center"/>
                </w:tcPr>
                <w:p>
                  <w:pPr>
                    <w:jc w:val="center"/>
                    <w:rPr>
                      <w:rFonts w:ascii="Times New Roman" w:hAnsi="Times New Roman"/>
                    </w:rPr>
                  </w:pPr>
                  <w:r>
                    <w:rPr>
                      <w:rFonts w:hint="eastAsia" w:ascii="Times New Roman" w:hAnsi="Times New Roman"/>
                    </w:rPr>
                    <w:t>3.62E-02</w:t>
                  </w:r>
                </w:p>
              </w:tc>
              <w:tc>
                <w:tcPr>
                  <w:tcW w:w="589" w:type="pct"/>
                  <w:vAlign w:val="center"/>
                </w:tcPr>
                <w:p>
                  <w:pPr>
                    <w:jc w:val="center"/>
                    <w:rPr>
                      <w:rFonts w:ascii="Times New Roman" w:hAnsi="Times New Roman"/>
                    </w:rPr>
                  </w:pPr>
                  <w:r>
                    <w:rPr>
                      <w:rFonts w:hint="eastAsia" w:ascii="Times New Roman" w:hAnsi="Times New Roman"/>
                    </w:rPr>
                    <w:t>1.81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2225</w:t>
                  </w:r>
                </w:p>
              </w:tc>
              <w:tc>
                <w:tcPr>
                  <w:tcW w:w="1029" w:type="pct"/>
                  <w:vAlign w:val="center"/>
                </w:tcPr>
                <w:p>
                  <w:pPr>
                    <w:jc w:val="center"/>
                    <w:rPr>
                      <w:rFonts w:ascii="Times New Roman" w:hAnsi="Times New Roman"/>
                    </w:rPr>
                  </w:pPr>
                  <w:r>
                    <w:rPr>
                      <w:rFonts w:hint="eastAsia" w:ascii="Times New Roman" w:hAnsi="Times New Roman"/>
                    </w:rPr>
                    <w:t>4.11E-03</w:t>
                  </w:r>
                </w:p>
              </w:tc>
              <w:tc>
                <w:tcPr>
                  <w:tcW w:w="589" w:type="pct"/>
                  <w:vAlign w:val="center"/>
                </w:tcPr>
                <w:p>
                  <w:pPr>
                    <w:jc w:val="center"/>
                    <w:rPr>
                      <w:rFonts w:ascii="Times New Roman" w:hAnsi="Times New Roman"/>
                    </w:rPr>
                  </w:pPr>
                  <w:r>
                    <w:rPr>
                      <w:rFonts w:hint="eastAsia" w:ascii="Times New Roman" w:hAnsi="Times New Roman"/>
                    </w:rPr>
                    <w:t>0.21</w:t>
                  </w:r>
                </w:p>
              </w:tc>
              <w:tc>
                <w:tcPr>
                  <w:tcW w:w="882" w:type="pct"/>
                  <w:vAlign w:val="center"/>
                </w:tcPr>
                <w:p>
                  <w:pPr>
                    <w:jc w:val="center"/>
                    <w:rPr>
                      <w:rFonts w:ascii="Times New Roman" w:hAnsi="Times New Roman"/>
                    </w:rPr>
                  </w:pPr>
                  <w:r>
                    <w:rPr>
                      <w:rFonts w:hint="eastAsia" w:ascii="Times New Roman" w:hAnsi="Times New Roman"/>
                    </w:rPr>
                    <w:t>2225</w:t>
                  </w:r>
                </w:p>
              </w:tc>
              <w:tc>
                <w:tcPr>
                  <w:tcW w:w="1029" w:type="pct"/>
                  <w:vAlign w:val="center"/>
                </w:tcPr>
                <w:p>
                  <w:pPr>
                    <w:jc w:val="center"/>
                    <w:rPr>
                      <w:rFonts w:ascii="Times New Roman" w:hAnsi="Times New Roman"/>
                    </w:rPr>
                  </w:pPr>
                  <w:r>
                    <w:rPr>
                      <w:rFonts w:hint="eastAsia" w:ascii="Times New Roman" w:hAnsi="Times New Roman"/>
                    </w:rPr>
                    <w:t>3.57E-02</w:t>
                  </w:r>
                </w:p>
              </w:tc>
              <w:tc>
                <w:tcPr>
                  <w:tcW w:w="589" w:type="pct"/>
                  <w:vAlign w:val="center"/>
                </w:tcPr>
                <w:p>
                  <w:pPr>
                    <w:jc w:val="center"/>
                    <w:rPr>
                      <w:rFonts w:ascii="Times New Roman" w:hAnsi="Times New Roman"/>
                    </w:rPr>
                  </w:pPr>
                  <w:r>
                    <w:rPr>
                      <w:rFonts w:hint="eastAsia" w:ascii="Times New Roman" w:hAnsi="Times New Roman"/>
                    </w:rPr>
                    <w:t>1.78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2250</w:t>
                  </w:r>
                </w:p>
              </w:tc>
              <w:tc>
                <w:tcPr>
                  <w:tcW w:w="1029" w:type="pct"/>
                  <w:vAlign w:val="center"/>
                </w:tcPr>
                <w:p>
                  <w:pPr>
                    <w:jc w:val="center"/>
                    <w:rPr>
                      <w:rFonts w:ascii="Times New Roman" w:hAnsi="Times New Roman"/>
                    </w:rPr>
                  </w:pPr>
                  <w:r>
                    <w:rPr>
                      <w:rFonts w:hint="eastAsia" w:ascii="Times New Roman" w:hAnsi="Times New Roman"/>
                    </w:rPr>
                    <w:t>4.05E-03</w:t>
                  </w:r>
                </w:p>
              </w:tc>
              <w:tc>
                <w:tcPr>
                  <w:tcW w:w="589" w:type="pct"/>
                  <w:vAlign w:val="center"/>
                </w:tcPr>
                <w:p>
                  <w:pPr>
                    <w:jc w:val="center"/>
                    <w:rPr>
                      <w:rFonts w:ascii="Times New Roman" w:hAnsi="Times New Roman"/>
                    </w:rPr>
                  </w:pPr>
                  <w:r>
                    <w:rPr>
                      <w:rFonts w:hint="eastAsia" w:ascii="Times New Roman" w:hAnsi="Times New Roman"/>
                    </w:rPr>
                    <w:t>0.2</w:t>
                  </w:r>
                </w:p>
              </w:tc>
              <w:tc>
                <w:tcPr>
                  <w:tcW w:w="882" w:type="pct"/>
                  <w:vAlign w:val="center"/>
                </w:tcPr>
                <w:p>
                  <w:pPr>
                    <w:jc w:val="center"/>
                    <w:rPr>
                      <w:rFonts w:ascii="Times New Roman" w:hAnsi="Times New Roman"/>
                    </w:rPr>
                  </w:pPr>
                  <w:r>
                    <w:rPr>
                      <w:rFonts w:hint="eastAsia" w:ascii="Times New Roman" w:hAnsi="Times New Roman"/>
                    </w:rPr>
                    <w:t>2250</w:t>
                  </w:r>
                </w:p>
              </w:tc>
              <w:tc>
                <w:tcPr>
                  <w:tcW w:w="1029" w:type="pct"/>
                  <w:vAlign w:val="center"/>
                </w:tcPr>
                <w:p>
                  <w:pPr>
                    <w:jc w:val="center"/>
                    <w:rPr>
                      <w:rFonts w:ascii="Times New Roman" w:hAnsi="Times New Roman"/>
                    </w:rPr>
                  </w:pPr>
                  <w:r>
                    <w:rPr>
                      <w:rFonts w:hint="eastAsia" w:ascii="Times New Roman" w:hAnsi="Times New Roman"/>
                    </w:rPr>
                    <w:t>3.52E-02</w:t>
                  </w:r>
                </w:p>
              </w:tc>
              <w:tc>
                <w:tcPr>
                  <w:tcW w:w="589" w:type="pct"/>
                  <w:vAlign w:val="center"/>
                </w:tcPr>
                <w:p>
                  <w:pPr>
                    <w:jc w:val="center"/>
                    <w:rPr>
                      <w:rFonts w:ascii="Times New Roman" w:hAnsi="Times New Roman"/>
                    </w:rPr>
                  </w:pPr>
                  <w:r>
                    <w:rPr>
                      <w:rFonts w:hint="eastAsia" w:ascii="Times New Roman" w:hAnsi="Times New Roman"/>
                    </w:rPr>
                    <w:t>1.76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2275</w:t>
                  </w:r>
                </w:p>
              </w:tc>
              <w:tc>
                <w:tcPr>
                  <w:tcW w:w="1029" w:type="pct"/>
                  <w:vAlign w:val="center"/>
                </w:tcPr>
                <w:p>
                  <w:pPr>
                    <w:jc w:val="center"/>
                    <w:rPr>
                      <w:rFonts w:ascii="Times New Roman" w:hAnsi="Times New Roman"/>
                    </w:rPr>
                  </w:pPr>
                  <w:r>
                    <w:rPr>
                      <w:rFonts w:hint="eastAsia" w:ascii="Times New Roman" w:hAnsi="Times New Roman"/>
                    </w:rPr>
                    <w:t>3.99E-03</w:t>
                  </w:r>
                </w:p>
              </w:tc>
              <w:tc>
                <w:tcPr>
                  <w:tcW w:w="589" w:type="pct"/>
                  <w:vAlign w:val="center"/>
                </w:tcPr>
                <w:p>
                  <w:pPr>
                    <w:jc w:val="center"/>
                    <w:rPr>
                      <w:rFonts w:ascii="Times New Roman" w:hAnsi="Times New Roman"/>
                    </w:rPr>
                  </w:pPr>
                  <w:r>
                    <w:rPr>
                      <w:rFonts w:hint="eastAsia" w:ascii="Times New Roman" w:hAnsi="Times New Roman"/>
                    </w:rPr>
                    <w:t>0.2</w:t>
                  </w:r>
                </w:p>
              </w:tc>
              <w:tc>
                <w:tcPr>
                  <w:tcW w:w="882" w:type="pct"/>
                  <w:vAlign w:val="center"/>
                </w:tcPr>
                <w:p>
                  <w:pPr>
                    <w:jc w:val="center"/>
                    <w:rPr>
                      <w:rFonts w:ascii="Times New Roman" w:hAnsi="Times New Roman"/>
                    </w:rPr>
                  </w:pPr>
                  <w:r>
                    <w:rPr>
                      <w:rFonts w:hint="eastAsia" w:ascii="Times New Roman" w:hAnsi="Times New Roman"/>
                    </w:rPr>
                    <w:t>2275</w:t>
                  </w:r>
                </w:p>
              </w:tc>
              <w:tc>
                <w:tcPr>
                  <w:tcW w:w="1029" w:type="pct"/>
                  <w:vAlign w:val="center"/>
                </w:tcPr>
                <w:p>
                  <w:pPr>
                    <w:jc w:val="center"/>
                    <w:rPr>
                      <w:rFonts w:ascii="Times New Roman" w:hAnsi="Times New Roman"/>
                    </w:rPr>
                  </w:pPr>
                  <w:r>
                    <w:rPr>
                      <w:rFonts w:hint="eastAsia" w:ascii="Times New Roman" w:hAnsi="Times New Roman"/>
                    </w:rPr>
                    <w:t>3.47E-02</w:t>
                  </w:r>
                </w:p>
              </w:tc>
              <w:tc>
                <w:tcPr>
                  <w:tcW w:w="589" w:type="pct"/>
                  <w:vAlign w:val="center"/>
                </w:tcPr>
                <w:p>
                  <w:pPr>
                    <w:jc w:val="center"/>
                    <w:rPr>
                      <w:rFonts w:ascii="Times New Roman" w:hAnsi="Times New Roman"/>
                    </w:rPr>
                  </w:pPr>
                  <w:r>
                    <w:rPr>
                      <w:rFonts w:hint="eastAsia" w:ascii="Times New Roman" w:hAnsi="Times New Roman"/>
                    </w:rPr>
                    <w:t>1.73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2300</w:t>
                  </w:r>
                </w:p>
              </w:tc>
              <w:tc>
                <w:tcPr>
                  <w:tcW w:w="1029" w:type="pct"/>
                  <w:vAlign w:val="center"/>
                </w:tcPr>
                <w:p>
                  <w:pPr>
                    <w:jc w:val="center"/>
                    <w:rPr>
                      <w:rFonts w:ascii="Times New Roman" w:hAnsi="Times New Roman"/>
                    </w:rPr>
                  </w:pPr>
                  <w:r>
                    <w:rPr>
                      <w:rFonts w:hint="eastAsia" w:ascii="Times New Roman" w:hAnsi="Times New Roman"/>
                    </w:rPr>
                    <w:t>3.94E-03</w:t>
                  </w:r>
                </w:p>
              </w:tc>
              <w:tc>
                <w:tcPr>
                  <w:tcW w:w="589" w:type="pct"/>
                  <w:vAlign w:val="center"/>
                </w:tcPr>
                <w:p>
                  <w:pPr>
                    <w:jc w:val="center"/>
                    <w:rPr>
                      <w:rFonts w:ascii="Times New Roman" w:hAnsi="Times New Roman"/>
                    </w:rPr>
                  </w:pPr>
                  <w:r>
                    <w:rPr>
                      <w:rFonts w:hint="eastAsia" w:ascii="Times New Roman" w:hAnsi="Times New Roman"/>
                    </w:rPr>
                    <w:t>0.2</w:t>
                  </w:r>
                </w:p>
              </w:tc>
              <w:tc>
                <w:tcPr>
                  <w:tcW w:w="882" w:type="pct"/>
                  <w:vAlign w:val="center"/>
                </w:tcPr>
                <w:p>
                  <w:pPr>
                    <w:jc w:val="center"/>
                    <w:rPr>
                      <w:rFonts w:ascii="Times New Roman" w:hAnsi="Times New Roman"/>
                    </w:rPr>
                  </w:pPr>
                  <w:r>
                    <w:rPr>
                      <w:rFonts w:hint="eastAsia" w:ascii="Times New Roman" w:hAnsi="Times New Roman"/>
                    </w:rPr>
                    <w:t>2300</w:t>
                  </w:r>
                </w:p>
              </w:tc>
              <w:tc>
                <w:tcPr>
                  <w:tcW w:w="1029" w:type="pct"/>
                  <w:vAlign w:val="center"/>
                </w:tcPr>
                <w:p>
                  <w:pPr>
                    <w:jc w:val="center"/>
                    <w:rPr>
                      <w:rFonts w:ascii="Times New Roman" w:hAnsi="Times New Roman"/>
                    </w:rPr>
                  </w:pPr>
                  <w:r>
                    <w:rPr>
                      <w:rFonts w:hint="eastAsia" w:ascii="Times New Roman" w:hAnsi="Times New Roman"/>
                    </w:rPr>
                    <w:t>3.42E-02</w:t>
                  </w:r>
                </w:p>
              </w:tc>
              <w:tc>
                <w:tcPr>
                  <w:tcW w:w="589" w:type="pct"/>
                  <w:vAlign w:val="center"/>
                </w:tcPr>
                <w:p>
                  <w:pPr>
                    <w:jc w:val="center"/>
                    <w:rPr>
                      <w:rFonts w:ascii="Times New Roman" w:hAnsi="Times New Roman"/>
                    </w:rPr>
                  </w:pPr>
                  <w:r>
                    <w:rPr>
                      <w:rFonts w:hint="eastAsia" w:ascii="Times New Roman" w:hAnsi="Times New Roman"/>
                    </w:rPr>
                    <w:t>1.71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2325</w:t>
                  </w:r>
                </w:p>
              </w:tc>
              <w:tc>
                <w:tcPr>
                  <w:tcW w:w="1029" w:type="pct"/>
                  <w:vAlign w:val="center"/>
                </w:tcPr>
                <w:p>
                  <w:pPr>
                    <w:jc w:val="center"/>
                    <w:rPr>
                      <w:rFonts w:ascii="Times New Roman" w:hAnsi="Times New Roman"/>
                    </w:rPr>
                  </w:pPr>
                  <w:r>
                    <w:rPr>
                      <w:rFonts w:hint="eastAsia" w:ascii="Times New Roman" w:hAnsi="Times New Roman"/>
                    </w:rPr>
                    <w:t>3.88E-03</w:t>
                  </w:r>
                </w:p>
              </w:tc>
              <w:tc>
                <w:tcPr>
                  <w:tcW w:w="589" w:type="pct"/>
                  <w:vAlign w:val="center"/>
                </w:tcPr>
                <w:p>
                  <w:pPr>
                    <w:jc w:val="center"/>
                    <w:rPr>
                      <w:rFonts w:ascii="Times New Roman" w:hAnsi="Times New Roman"/>
                    </w:rPr>
                  </w:pPr>
                  <w:r>
                    <w:rPr>
                      <w:rFonts w:hint="eastAsia" w:ascii="Times New Roman" w:hAnsi="Times New Roman"/>
                    </w:rPr>
                    <w:t>0.19</w:t>
                  </w:r>
                </w:p>
              </w:tc>
              <w:tc>
                <w:tcPr>
                  <w:tcW w:w="882" w:type="pct"/>
                  <w:vAlign w:val="center"/>
                </w:tcPr>
                <w:p>
                  <w:pPr>
                    <w:jc w:val="center"/>
                    <w:rPr>
                      <w:rFonts w:ascii="Times New Roman" w:hAnsi="Times New Roman"/>
                    </w:rPr>
                  </w:pPr>
                  <w:r>
                    <w:rPr>
                      <w:rFonts w:hint="eastAsia" w:ascii="Times New Roman" w:hAnsi="Times New Roman"/>
                    </w:rPr>
                    <w:t>2325</w:t>
                  </w:r>
                </w:p>
              </w:tc>
              <w:tc>
                <w:tcPr>
                  <w:tcW w:w="1029" w:type="pct"/>
                  <w:vAlign w:val="center"/>
                </w:tcPr>
                <w:p>
                  <w:pPr>
                    <w:jc w:val="center"/>
                    <w:rPr>
                      <w:rFonts w:ascii="Times New Roman" w:hAnsi="Times New Roman"/>
                    </w:rPr>
                  </w:pPr>
                  <w:r>
                    <w:rPr>
                      <w:rFonts w:hint="eastAsia" w:ascii="Times New Roman" w:hAnsi="Times New Roman"/>
                    </w:rPr>
                    <w:t>3.37E-02</w:t>
                  </w:r>
                </w:p>
              </w:tc>
              <w:tc>
                <w:tcPr>
                  <w:tcW w:w="589" w:type="pct"/>
                  <w:vAlign w:val="center"/>
                </w:tcPr>
                <w:p>
                  <w:pPr>
                    <w:jc w:val="center"/>
                    <w:rPr>
                      <w:rFonts w:ascii="Times New Roman" w:hAnsi="Times New Roman"/>
                    </w:rPr>
                  </w:pPr>
                  <w:r>
                    <w:rPr>
                      <w:rFonts w:hint="eastAsia" w:ascii="Times New Roman" w:hAnsi="Times New Roman"/>
                    </w:rPr>
                    <w:t>1.69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2350</w:t>
                  </w:r>
                </w:p>
              </w:tc>
              <w:tc>
                <w:tcPr>
                  <w:tcW w:w="1029" w:type="pct"/>
                  <w:vAlign w:val="center"/>
                </w:tcPr>
                <w:p>
                  <w:pPr>
                    <w:jc w:val="center"/>
                    <w:rPr>
                      <w:rFonts w:ascii="Times New Roman" w:hAnsi="Times New Roman"/>
                    </w:rPr>
                  </w:pPr>
                  <w:r>
                    <w:rPr>
                      <w:rFonts w:hint="eastAsia" w:ascii="Times New Roman" w:hAnsi="Times New Roman"/>
                    </w:rPr>
                    <w:t>3.83E-03</w:t>
                  </w:r>
                </w:p>
              </w:tc>
              <w:tc>
                <w:tcPr>
                  <w:tcW w:w="589" w:type="pct"/>
                  <w:vAlign w:val="center"/>
                </w:tcPr>
                <w:p>
                  <w:pPr>
                    <w:jc w:val="center"/>
                    <w:rPr>
                      <w:rFonts w:ascii="Times New Roman" w:hAnsi="Times New Roman"/>
                    </w:rPr>
                  </w:pPr>
                  <w:r>
                    <w:rPr>
                      <w:rFonts w:hint="eastAsia" w:ascii="Times New Roman" w:hAnsi="Times New Roman"/>
                    </w:rPr>
                    <w:t>0.19</w:t>
                  </w:r>
                </w:p>
              </w:tc>
              <w:tc>
                <w:tcPr>
                  <w:tcW w:w="882" w:type="pct"/>
                  <w:vAlign w:val="center"/>
                </w:tcPr>
                <w:p>
                  <w:pPr>
                    <w:jc w:val="center"/>
                    <w:rPr>
                      <w:rFonts w:ascii="Times New Roman" w:hAnsi="Times New Roman"/>
                    </w:rPr>
                  </w:pPr>
                  <w:r>
                    <w:rPr>
                      <w:rFonts w:hint="eastAsia" w:ascii="Times New Roman" w:hAnsi="Times New Roman"/>
                    </w:rPr>
                    <w:t>2350</w:t>
                  </w:r>
                </w:p>
              </w:tc>
              <w:tc>
                <w:tcPr>
                  <w:tcW w:w="1029" w:type="pct"/>
                  <w:vAlign w:val="center"/>
                </w:tcPr>
                <w:p>
                  <w:pPr>
                    <w:jc w:val="center"/>
                    <w:rPr>
                      <w:rFonts w:ascii="Times New Roman" w:hAnsi="Times New Roman"/>
                    </w:rPr>
                  </w:pPr>
                  <w:r>
                    <w:rPr>
                      <w:rFonts w:hint="eastAsia" w:ascii="Times New Roman" w:hAnsi="Times New Roman"/>
                    </w:rPr>
                    <w:t>3.32E-02</w:t>
                  </w:r>
                </w:p>
              </w:tc>
              <w:tc>
                <w:tcPr>
                  <w:tcW w:w="589" w:type="pct"/>
                  <w:vAlign w:val="center"/>
                </w:tcPr>
                <w:p>
                  <w:pPr>
                    <w:jc w:val="center"/>
                    <w:rPr>
                      <w:rFonts w:ascii="Times New Roman" w:hAnsi="Times New Roman"/>
                    </w:rPr>
                  </w:pPr>
                  <w:r>
                    <w:rPr>
                      <w:rFonts w:hint="eastAsia" w:ascii="Times New Roman" w:hAnsi="Times New Roman"/>
                    </w:rPr>
                    <w:t>1.66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2375</w:t>
                  </w:r>
                </w:p>
              </w:tc>
              <w:tc>
                <w:tcPr>
                  <w:tcW w:w="1029" w:type="pct"/>
                  <w:vAlign w:val="center"/>
                </w:tcPr>
                <w:p>
                  <w:pPr>
                    <w:jc w:val="center"/>
                    <w:rPr>
                      <w:rFonts w:ascii="Times New Roman" w:hAnsi="Times New Roman"/>
                    </w:rPr>
                  </w:pPr>
                  <w:r>
                    <w:rPr>
                      <w:rFonts w:hint="eastAsia" w:ascii="Times New Roman" w:hAnsi="Times New Roman"/>
                    </w:rPr>
                    <w:t>3.78E-03</w:t>
                  </w:r>
                </w:p>
              </w:tc>
              <w:tc>
                <w:tcPr>
                  <w:tcW w:w="589" w:type="pct"/>
                  <w:vAlign w:val="center"/>
                </w:tcPr>
                <w:p>
                  <w:pPr>
                    <w:jc w:val="center"/>
                    <w:rPr>
                      <w:rFonts w:ascii="Times New Roman" w:hAnsi="Times New Roman"/>
                    </w:rPr>
                  </w:pPr>
                  <w:r>
                    <w:rPr>
                      <w:rFonts w:hint="eastAsia" w:ascii="Times New Roman" w:hAnsi="Times New Roman"/>
                    </w:rPr>
                    <w:t>0.19</w:t>
                  </w:r>
                </w:p>
              </w:tc>
              <w:tc>
                <w:tcPr>
                  <w:tcW w:w="882" w:type="pct"/>
                  <w:vAlign w:val="center"/>
                </w:tcPr>
                <w:p>
                  <w:pPr>
                    <w:jc w:val="center"/>
                    <w:rPr>
                      <w:rFonts w:ascii="Times New Roman" w:hAnsi="Times New Roman"/>
                    </w:rPr>
                  </w:pPr>
                  <w:r>
                    <w:rPr>
                      <w:rFonts w:hint="eastAsia" w:ascii="Times New Roman" w:hAnsi="Times New Roman"/>
                    </w:rPr>
                    <w:t>2375</w:t>
                  </w:r>
                </w:p>
              </w:tc>
              <w:tc>
                <w:tcPr>
                  <w:tcW w:w="1029" w:type="pct"/>
                  <w:vAlign w:val="center"/>
                </w:tcPr>
                <w:p>
                  <w:pPr>
                    <w:jc w:val="center"/>
                    <w:rPr>
                      <w:rFonts w:ascii="Times New Roman" w:hAnsi="Times New Roman"/>
                    </w:rPr>
                  </w:pPr>
                  <w:r>
                    <w:rPr>
                      <w:rFonts w:hint="eastAsia" w:ascii="Times New Roman" w:hAnsi="Times New Roman"/>
                    </w:rPr>
                    <w:t>3.28E-02</w:t>
                  </w:r>
                </w:p>
              </w:tc>
              <w:tc>
                <w:tcPr>
                  <w:tcW w:w="589" w:type="pct"/>
                  <w:vAlign w:val="center"/>
                </w:tcPr>
                <w:p>
                  <w:pPr>
                    <w:jc w:val="center"/>
                    <w:rPr>
                      <w:rFonts w:ascii="Times New Roman" w:hAnsi="Times New Roman"/>
                    </w:rPr>
                  </w:pPr>
                  <w:r>
                    <w:rPr>
                      <w:rFonts w:hint="eastAsia" w:ascii="Times New Roman" w:hAnsi="Times New Roman"/>
                    </w:rPr>
                    <w:t>1.64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2400</w:t>
                  </w:r>
                </w:p>
              </w:tc>
              <w:tc>
                <w:tcPr>
                  <w:tcW w:w="1029" w:type="pct"/>
                  <w:vAlign w:val="center"/>
                </w:tcPr>
                <w:p>
                  <w:pPr>
                    <w:jc w:val="center"/>
                    <w:rPr>
                      <w:rFonts w:ascii="Times New Roman" w:hAnsi="Times New Roman"/>
                    </w:rPr>
                  </w:pPr>
                  <w:r>
                    <w:rPr>
                      <w:rFonts w:hint="eastAsia" w:ascii="Times New Roman" w:hAnsi="Times New Roman"/>
                    </w:rPr>
                    <w:t>3.73E-03</w:t>
                  </w:r>
                </w:p>
              </w:tc>
              <w:tc>
                <w:tcPr>
                  <w:tcW w:w="589" w:type="pct"/>
                  <w:vAlign w:val="center"/>
                </w:tcPr>
                <w:p>
                  <w:pPr>
                    <w:jc w:val="center"/>
                    <w:rPr>
                      <w:rFonts w:ascii="Times New Roman" w:hAnsi="Times New Roman"/>
                    </w:rPr>
                  </w:pPr>
                  <w:r>
                    <w:rPr>
                      <w:rFonts w:hint="eastAsia" w:ascii="Times New Roman" w:hAnsi="Times New Roman"/>
                    </w:rPr>
                    <w:t>0.19</w:t>
                  </w:r>
                </w:p>
              </w:tc>
              <w:tc>
                <w:tcPr>
                  <w:tcW w:w="882" w:type="pct"/>
                  <w:vAlign w:val="center"/>
                </w:tcPr>
                <w:p>
                  <w:pPr>
                    <w:jc w:val="center"/>
                    <w:rPr>
                      <w:rFonts w:ascii="Times New Roman" w:hAnsi="Times New Roman"/>
                    </w:rPr>
                  </w:pPr>
                  <w:r>
                    <w:rPr>
                      <w:rFonts w:hint="eastAsia" w:ascii="Times New Roman" w:hAnsi="Times New Roman"/>
                    </w:rPr>
                    <w:t>2400</w:t>
                  </w:r>
                </w:p>
              </w:tc>
              <w:tc>
                <w:tcPr>
                  <w:tcW w:w="1029" w:type="pct"/>
                  <w:vAlign w:val="center"/>
                </w:tcPr>
                <w:p>
                  <w:pPr>
                    <w:jc w:val="center"/>
                    <w:rPr>
                      <w:rFonts w:ascii="Times New Roman" w:hAnsi="Times New Roman"/>
                    </w:rPr>
                  </w:pPr>
                  <w:r>
                    <w:rPr>
                      <w:rFonts w:hint="eastAsia" w:ascii="Times New Roman" w:hAnsi="Times New Roman"/>
                    </w:rPr>
                    <w:t>3.24E-02</w:t>
                  </w:r>
                </w:p>
              </w:tc>
              <w:tc>
                <w:tcPr>
                  <w:tcW w:w="589" w:type="pct"/>
                  <w:vAlign w:val="center"/>
                </w:tcPr>
                <w:p>
                  <w:pPr>
                    <w:jc w:val="center"/>
                    <w:rPr>
                      <w:rFonts w:ascii="Times New Roman" w:hAnsi="Times New Roman"/>
                    </w:rPr>
                  </w:pPr>
                  <w:r>
                    <w:rPr>
                      <w:rFonts w:hint="eastAsia" w:ascii="Times New Roman" w:hAnsi="Times New Roman"/>
                    </w:rPr>
                    <w:t>1.62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2425</w:t>
                  </w:r>
                </w:p>
              </w:tc>
              <w:tc>
                <w:tcPr>
                  <w:tcW w:w="1029" w:type="pct"/>
                  <w:vAlign w:val="center"/>
                </w:tcPr>
                <w:p>
                  <w:pPr>
                    <w:jc w:val="center"/>
                    <w:rPr>
                      <w:rFonts w:ascii="Times New Roman" w:hAnsi="Times New Roman"/>
                    </w:rPr>
                  </w:pPr>
                  <w:r>
                    <w:rPr>
                      <w:rFonts w:hint="eastAsia" w:ascii="Times New Roman" w:hAnsi="Times New Roman"/>
                    </w:rPr>
                    <w:t>3.68E-03</w:t>
                  </w:r>
                </w:p>
              </w:tc>
              <w:tc>
                <w:tcPr>
                  <w:tcW w:w="589" w:type="pct"/>
                  <w:vAlign w:val="center"/>
                </w:tcPr>
                <w:p>
                  <w:pPr>
                    <w:jc w:val="center"/>
                    <w:rPr>
                      <w:rFonts w:ascii="Times New Roman" w:hAnsi="Times New Roman"/>
                    </w:rPr>
                  </w:pPr>
                  <w:r>
                    <w:rPr>
                      <w:rFonts w:hint="eastAsia" w:ascii="Times New Roman" w:hAnsi="Times New Roman"/>
                    </w:rPr>
                    <w:t>0.18</w:t>
                  </w:r>
                </w:p>
              </w:tc>
              <w:tc>
                <w:tcPr>
                  <w:tcW w:w="882" w:type="pct"/>
                  <w:vAlign w:val="center"/>
                </w:tcPr>
                <w:p>
                  <w:pPr>
                    <w:jc w:val="center"/>
                    <w:rPr>
                      <w:rFonts w:ascii="Times New Roman" w:hAnsi="Times New Roman"/>
                    </w:rPr>
                  </w:pPr>
                  <w:r>
                    <w:rPr>
                      <w:rFonts w:hint="eastAsia" w:ascii="Times New Roman" w:hAnsi="Times New Roman"/>
                    </w:rPr>
                    <w:t>2425</w:t>
                  </w:r>
                </w:p>
              </w:tc>
              <w:tc>
                <w:tcPr>
                  <w:tcW w:w="1029" w:type="pct"/>
                  <w:vAlign w:val="center"/>
                </w:tcPr>
                <w:p>
                  <w:pPr>
                    <w:jc w:val="center"/>
                    <w:rPr>
                      <w:rFonts w:ascii="Times New Roman" w:hAnsi="Times New Roman"/>
                    </w:rPr>
                  </w:pPr>
                  <w:r>
                    <w:rPr>
                      <w:rFonts w:hint="eastAsia" w:ascii="Times New Roman" w:hAnsi="Times New Roman"/>
                    </w:rPr>
                    <w:t>3.19E-02</w:t>
                  </w:r>
                </w:p>
              </w:tc>
              <w:tc>
                <w:tcPr>
                  <w:tcW w:w="589" w:type="pct"/>
                  <w:vAlign w:val="center"/>
                </w:tcPr>
                <w:p>
                  <w:pPr>
                    <w:jc w:val="center"/>
                    <w:rPr>
                      <w:rFonts w:ascii="Times New Roman" w:hAnsi="Times New Roman"/>
                    </w:rPr>
                  </w:pPr>
                  <w:r>
                    <w:rPr>
                      <w:rFonts w:hint="eastAsia" w:ascii="Times New Roman" w:hAnsi="Times New Roman"/>
                    </w:rPr>
                    <w:t>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2450</w:t>
                  </w:r>
                </w:p>
              </w:tc>
              <w:tc>
                <w:tcPr>
                  <w:tcW w:w="1029" w:type="pct"/>
                  <w:vAlign w:val="center"/>
                </w:tcPr>
                <w:p>
                  <w:pPr>
                    <w:jc w:val="center"/>
                    <w:rPr>
                      <w:rFonts w:ascii="Times New Roman" w:hAnsi="Times New Roman"/>
                    </w:rPr>
                  </w:pPr>
                  <w:r>
                    <w:rPr>
                      <w:rFonts w:hint="eastAsia" w:ascii="Times New Roman" w:hAnsi="Times New Roman"/>
                    </w:rPr>
                    <w:t>3.63E-03</w:t>
                  </w:r>
                </w:p>
              </w:tc>
              <w:tc>
                <w:tcPr>
                  <w:tcW w:w="589" w:type="pct"/>
                  <w:vAlign w:val="center"/>
                </w:tcPr>
                <w:p>
                  <w:pPr>
                    <w:jc w:val="center"/>
                    <w:rPr>
                      <w:rFonts w:ascii="Times New Roman" w:hAnsi="Times New Roman"/>
                    </w:rPr>
                  </w:pPr>
                  <w:r>
                    <w:rPr>
                      <w:rFonts w:hint="eastAsia" w:ascii="Times New Roman" w:hAnsi="Times New Roman"/>
                    </w:rPr>
                    <w:t>0.18</w:t>
                  </w:r>
                </w:p>
              </w:tc>
              <w:tc>
                <w:tcPr>
                  <w:tcW w:w="882" w:type="pct"/>
                  <w:vAlign w:val="center"/>
                </w:tcPr>
                <w:p>
                  <w:pPr>
                    <w:jc w:val="center"/>
                    <w:rPr>
                      <w:rFonts w:ascii="Times New Roman" w:hAnsi="Times New Roman"/>
                    </w:rPr>
                  </w:pPr>
                  <w:r>
                    <w:rPr>
                      <w:rFonts w:hint="eastAsia" w:ascii="Times New Roman" w:hAnsi="Times New Roman"/>
                    </w:rPr>
                    <w:t>2450</w:t>
                  </w:r>
                </w:p>
              </w:tc>
              <w:tc>
                <w:tcPr>
                  <w:tcW w:w="1029" w:type="pct"/>
                  <w:vAlign w:val="center"/>
                </w:tcPr>
                <w:p>
                  <w:pPr>
                    <w:jc w:val="center"/>
                    <w:rPr>
                      <w:rFonts w:ascii="Times New Roman" w:hAnsi="Times New Roman"/>
                    </w:rPr>
                  </w:pPr>
                  <w:r>
                    <w:rPr>
                      <w:rFonts w:hint="eastAsia" w:ascii="Times New Roman" w:hAnsi="Times New Roman"/>
                    </w:rPr>
                    <w:t>3.15E-02</w:t>
                  </w:r>
                </w:p>
              </w:tc>
              <w:tc>
                <w:tcPr>
                  <w:tcW w:w="589" w:type="pct"/>
                  <w:vAlign w:val="center"/>
                </w:tcPr>
                <w:p>
                  <w:pPr>
                    <w:jc w:val="center"/>
                    <w:rPr>
                      <w:rFonts w:ascii="Times New Roman" w:hAnsi="Times New Roman"/>
                    </w:rPr>
                  </w:pPr>
                  <w:r>
                    <w:rPr>
                      <w:rFonts w:hint="eastAsia" w:ascii="Times New Roman" w:hAnsi="Times New Roman"/>
                    </w:rPr>
                    <w:t>1.58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2475</w:t>
                  </w:r>
                </w:p>
              </w:tc>
              <w:tc>
                <w:tcPr>
                  <w:tcW w:w="1029" w:type="pct"/>
                  <w:vAlign w:val="center"/>
                </w:tcPr>
                <w:p>
                  <w:pPr>
                    <w:jc w:val="center"/>
                    <w:rPr>
                      <w:rFonts w:ascii="Times New Roman" w:hAnsi="Times New Roman"/>
                    </w:rPr>
                  </w:pPr>
                  <w:r>
                    <w:rPr>
                      <w:rFonts w:hint="eastAsia" w:ascii="Times New Roman" w:hAnsi="Times New Roman"/>
                    </w:rPr>
                    <w:t>3.58E-03</w:t>
                  </w:r>
                </w:p>
              </w:tc>
              <w:tc>
                <w:tcPr>
                  <w:tcW w:w="589" w:type="pct"/>
                  <w:vAlign w:val="center"/>
                </w:tcPr>
                <w:p>
                  <w:pPr>
                    <w:jc w:val="center"/>
                    <w:rPr>
                      <w:rFonts w:ascii="Times New Roman" w:hAnsi="Times New Roman"/>
                    </w:rPr>
                  </w:pPr>
                  <w:r>
                    <w:rPr>
                      <w:rFonts w:hint="eastAsia" w:ascii="Times New Roman" w:hAnsi="Times New Roman"/>
                    </w:rPr>
                    <w:t>0.18</w:t>
                  </w:r>
                </w:p>
              </w:tc>
              <w:tc>
                <w:tcPr>
                  <w:tcW w:w="882" w:type="pct"/>
                  <w:vAlign w:val="center"/>
                </w:tcPr>
                <w:p>
                  <w:pPr>
                    <w:jc w:val="center"/>
                    <w:rPr>
                      <w:rFonts w:ascii="Times New Roman" w:hAnsi="Times New Roman"/>
                    </w:rPr>
                  </w:pPr>
                  <w:r>
                    <w:rPr>
                      <w:rFonts w:hint="eastAsia" w:ascii="Times New Roman" w:hAnsi="Times New Roman"/>
                    </w:rPr>
                    <w:t>2475</w:t>
                  </w:r>
                </w:p>
              </w:tc>
              <w:tc>
                <w:tcPr>
                  <w:tcW w:w="1029" w:type="pct"/>
                  <w:vAlign w:val="center"/>
                </w:tcPr>
                <w:p>
                  <w:pPr>
                    <w:jc w:val="center"/>
                    <w:rPr>
                      <w:rFonts w:ascii="Times New Roman" w:hAnsi="Times New Roman"/>
                    </w:rPr>
                  </w:pPr>
                  <w:r>
                    <w:rPr>
                      <w:rFonts w:hint="eastAsia" w:ascii="Times New Roman" w:hAnsi="Times New Roman"/>
                    </w:rPr>
                    <w:t>3.11E-02</w:t>
                  </w:r>
                </w:p>
              </w:tc>
              <w:tc>
                <w:tcPr>
                  <w:tcW w:w="589" w:type="pct"/>
                  <w:vAlign w:val="center"/>
                </w:tcPr>
                <w:p>
                  <w:pPr>
                    <w:jc w:val="center"/>
                    <w:rPr>
                      <w:rFonts w:ascii="Times New Roman" w:hAnsi="Times New Roman"/>
                    </w:rPr>
                  </w:pPr>
                  <w:r>
                    <w:rPr>
                      <w:rFonts w:hint="eastAsia" w:ascii="Times New Roman" w:hAnsi="Times New Roman"/>
                    </w:rPr>
                    <w:t>1.56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2500</w:t>
                  </w:r>
                </w:p>
              </w:tc>
              <w:tc>
                <w:tcPr>
                  <w:tcW w:w="1029" w:type="pct"/>
                  <w:vAlign w:val="center"/>
                </w:tcPr>
                <w:p>
                  <w:pPr>
                    <w:jc w:val="center"/>
                    <w:rPr>
                      <w:rFonts w:ascii="Times New Roman" w:hAnsi="Times New Roman"/>
                    </w:rPr>
                  </w:pPr>
                  <w:r>
                    <w:rPr>
                      <w:rFonts w:hint="eastAsia" w:ascii="Times New Roman" w:hAnsi="Times New Roman"/>
                    </w:rPr>
                    <w:t>3.54E-03</w:t>
                  </w:r>
                </w:p>
              </w:tc>
              <w:tc>
                <w:tcPr>
                  <w:tcW w:w="589" w:type="pct"/>
                  <w:vAlign w:val="center"/>
                </w:tcPr>
                <w:p>
                  <w:pPr>
                    <w:jc w:val="center"/>
                    <w:rPr>
                      <w:rFonts w:ascii="Times New Roman" w:hAnsi="Times New Roman"/>
                    </w:rPr>
                  </w:pPr>
                  <w:r>
                    <w:rPr>
                      <w:rFonts w:hint="eastAsia" w:ascii="Times New Roman" w:hAnsi="Times New Roman"/>
                    </w:rPr>
                    <w:t>0.18</w:t>
                  </w:r>
                </w:p>
              </w:tc>
              <w:tc>
                <w:tcPr>
                  <w:tcW w:w="882" w:type="pct"/>
                  <w:vAlign w:val="center"/>
                </w:tcPr>
                <w:p>
                  <w:pPr>
                    <w:jc w:val="center"/>
                    <w:rPr>
                      <w:rFonts w:ascii="Times New Roman" w:hAnsi="Times New Roman"/>
                    </w:rPr>
                  </w:pPr>
                  <w:r>
                    <w:rPr>
                      <w:rFonts w:hint="eastAsia" w:ascii="Times New Roman" w:hAnsi="Times New Roman"/>
                    </w:rPr>
                    <w:t>2500</w:t>
                  </w:r>
                </w:p>
              </w:tc>
              <w:tc>
                <w:tcPr>
                  <w:tcW w:w="1029" w:type="pct"/>
                  <w:vAlign w:val="center"/>
                </w:tcPr>
                <w:p>
                  <w:pPr>
                    <w:jc w:val="center"/>
                    <w:rPr>
                      <w:rFonts w:ascii="Times New Roman" w:hAnsi="Times New Roman"/>
                    </w:rPr>
                  </w:pPr>
                  <w:r>
                    <w:rPr>
                      <w:rFonts w:hint="eastAsia" w:ascii="Times New Roman" w:hAnsi="Times New Roman"/>
                    </w:rPr>
                    <w:t>3.07E-02</w:t>
                  </w:r>
                </w:p>
              </w:tc>
              <w:tc>
                <w:tcPr>
                  <w:tcW w:w="589" w:type="pct"/>
                  <w:vAlign w:val="center"/>
                </w:tcPr>
                <w:p>
                  <w:pPr>
                    <w:jc w:val="center"/>
                    <w:rPr>
                      <w:rFonts w:ascii="Times New Roman" w:hAnsi="Times New Roman"/>
                    </w:rPr>
                  </w:pPr>
                  <w:r>
                    <w:rPr>
                      <w:rFonts w:hint="eastAsia" w:ascii="Times New Roman" w:hAnsi="Times New Roman"/>
                    </w:rPr>
                    <w:t>1.54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2525</w:t>
                  </w:r>
                </w:p>
              </w:tc>
              <w:tc>
                <w:tcPr>
                  <w:tcW w:w="1029" w:type="pct"/>
                  <w:vAlign w:val="center"/>
                </w:tcPr>
                <w:p>
                  <w:pPr>
                    <w:jc w:val="center"/>
                    <w:rPr>
                      <w:rFonts w:ascii="Times New Roman" w:hAnsi="Times New Roman"/>
                    </w:rPr>
                  </w:pPr>
                  <w:r>
                    <w:rPr>
                      <w:rFonts w:hint="eastAsia" w:ascii="Times New Roman" w:hAnsi="Times New Roman"/>
                    </w:rPr>
                    <w:t>3.49E-03</w:t>
                  </w:r>
                </w:p>
              </w:tc>
              <w:tc>
                <w:tcPr>
                  <w:tcW w:w="589" w:type="pct"/>
                  <w:vAlign w:val="center"/>
                </w:tcPr>
                <w:p>
                  <w:pPr>
                    <w:jc w:val="center"/>
                    <w:rPr>
                      <w:rFonts w:ascii="Times New Roman" w:hAnsi="Times New Roman"/>
                    </w:rPr>
                  </w:pPr>
                  <w:r>
                    <w:rPr>
                      <w:rFonts w:hint="eastAsia" w:ascii="Times New Roman" w:hAnsi="Times New Roman"/>
                    </w:rPr>
                    <w:t>0.17</w:t>
                  </w:r>
                </w:p>
              </w:tc>
              <w:tc>
                <w:tcPr>
                  <w:tcW w:w="882" w:type="pct"/>
                  <w:vAlign w:val="center"/>
                </w:tcPr>
                <w:p>
                  <w:pPr>
                    <w:jc w:val="center"/>
                    <w:rPr>
                      <w:rFonts w:ascii="Times New Roman" w:hAnsi="Times New Roman"/>
                    </w:rPr>
                  </w:pPr>
                  <w:r>
                    <w:rPr>
                      <w:rFonts w:hint="eastAsia" w:ascii="Times New Roman" w:hAnsi="Times New Roman"/>
                    </w:rPr>
                    <w:t>2525</w:t>
                  </w:r>
                </w:p>
              </w:tc>
              <w:tc>
                <w:tcPr>
                  <w:tcW w:w="1029" w:type="pct"/>
                  <w:vAlign w:val="center"/>
                </w:tcPr>
                <w:p>
                  <w:pPr>
                    <w:jc w:val="center"/>
                    <w:rPr>
                      <w:rFonts w:ascii="Times New Roman" w:hAnsi="Times New Roman"/>
                    </w:rPr>
                  </w:pPr>
                  <w:r>
                    <w:rPr>
                      <w:rFonts w:hint="eastAsia" w:ascii="Times New Roman" w:hAnsi="Times New Roman"/>
                    </w:rPr>
                    <w:t>3.03E-02</w:t>
                  </w:r>
                </w:p>
              </w:tc>
              <w:tc>
                <w:tcPr>
                  <w:tcW w:w="589" w:type="pct"/>
                  <w:vAlign w:val="center"/>
                </w:tcPr>
                <w:p>
                  <w:pPr>
                    <w:jc w:val="center"/>
                    <w:rPr>
                      <w:rFonts w:ascii="Times New Roman" w:hAnsi="Times New Roman"/>
                    </w:rPr>
                  </w:pPr>
                  <w:r>
                    <w:rPr>
                      <w:rFonts w:hint="eastAsia" w:ascii="Times New Roman" w:hAnsi="Times New Roman"/>
                    </w:rPr>
                    <w:t>1.52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2550</w:t>
                  </w:r>
                </w:p>
              </w:tc>
              <w:tc>
                <w:tcPr>
                  <w:tcW w:w="1029" w:type="pct"/>
                  <w:vAlign w:val="center"/>
                </w:tcPr>
                <w:p>
                  <w:pPr>
                    <w:jc w:val="center"/>
                    <w:rPr>
                      <w:rFonts w:ascii="Times New Roman" w:hAnsi="Times New Roman"/>
                    </w:rPr>
                  </w:pPr>
                  <w:r>
                    <w:rPr>
                      <w:rFonts w:hint="eastAsia" w:ascii="Times New Roman" w:hAnsi="Times New Roman"/>
                    </w:rPr>
                    <w:t>3.45E-03</w:t>
                  </w:r>
                </w:p>
              </w:tc>
              <w:tc>
                <w:tcPr>
                  <w:tcW w:w="589" w:type="pct"/>
                  <w:vAlign w:val="center"/>
                </w:tcPr>
                <w:p>
                  <w:pPr>
                    <w:jc w:val="center"/>
                    <w:rPr>
                      <w:rFonts w:ascii="Times New Roman" w:hAnsi="Times New Roman"/>
                    </w:rPr>
                  </w:pPr>
                  <w:r>
                    <w:rPr>
                      <w:rFonts w:hint="eastAsia" w:ascii="Times New Roman" w:hAnsi="Times New Roman"/>
                    </w:rPr>
                    <w:t>0.17</w:t>
                  </w:r>
                </w:p>
              </w:tc>
              <w:tc>
                <w:tcPr>
                  <w:tcW w:w="882" w:type="pct"/>
                  <w:vAlign w:val="center"/>
                </w:tcPr>
                <w:p>
                  <w:pPr>
                    <w:jc w:val="center"/>
                    <w:rPr>
                      <w:rFonts w:ascii="Times New Roman" w:hAnsi="Times New Roman"/>
                    </w:rPr>
                  </w:pPr>
                  <w:r>
                    <w:rPr>
                      <w:rFonts w:hint="eastAsia" w:ascii="Times New Roman" w:hAnsi="Times New Roman"/>
                    </w:rPr>
                    <w:t>2550</w:t>
                  </w:r>
                </w:p>
              </w:tc>
              <w:tc>
                <w:tcPr>
                  <w:tcW w:w="1029" w:type="pct"/>
                  <w:vAlign w:val="center"/>
                </w:tcPr>
                <w:p>
                  <w:pPr>
                    <w:jc w:val="center"/>
                    <w:rPr>
                      <w:rFonts w:ascii="Times New Roman" w:hAnsi="Times New Roman"/>
                    </w:rPr>
                  </w:pPr>
                  <w:r>
                    <w:rPr>
                      <w:rFonts w:hint="eastAsia" w:ascii="Times New Roman" w:hAnsi="Times New Roman"/>
                    </w:rPr>
                    <w:t>2.99E-02</w:t>
                  </w:r>
                </w:p>
              </w:tc>
              <w:tc>
                <w:tcPr>
                  <w:tcW w:w="589" w:type="pct"/>
                  <w:vAlign w:val="center"/>
                </w:tcPr>
                <w:p>
                  <w:pPr>
                    <w:jc w:val="center"/>
                    <w:rPr>
                      <w:rFonts w:ascii="Times New Roman" w:hAnsi="Times New Roman"/>
                    </w:rPr>
                  </w:pPr>
                  <w:r>
                    <w:rPr>
                      <w:rFonts w:hint="eastAsia" w:ascii="Times New Roman" w:hAnsi="Times New Roman"/>
                    </w:rPr>
                    <w:t>1.5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2575</w:t>
                  </w:r>
                </w:p>
              </w:tc>
              <w:tc>
                <w:tcPr>
                  <w:tcW w:w="1029" w:type="pct"/>
                  <w:vAlign w:val="center"/>
                </w:tcPr>
                <w:p>
                  <w:pPr>
                    <w:jc w:val="center"/>
                    <w:rPr>
                      <w:rFonts w:ascii="Times New Roman" w:hAnsi="Times New Roman"/>
                    </w:rPr>
                  </w:pPr>
                  <w:r>
                    <w:rPr>
                      <w:rFonts w:hint="eastAsia" w:ascii="Times New Roman" w:hAnsi="Times New Roman"/>
                    </w:rPr>
                    <w:t>3.40E-03</w:t>
                  </w:r>
                </w:p>
              </w:tc>
              <w:tc>
                <w:tcPr>
                  <w:tcW w:w="589" w:type="pct"/>
                  <w:vAlign w:val="center"/>
                </w:tcPr>
                <w:p>
                  <w:pPr>
                    <w:jc w:val="center"/>
                    <w:rPr>
                      <w:rFonts w:ascii="Times New Roman" w:hAnsi="Times New Roman"/>
                    </w:rPr>
                  </w:pPr>
                  <w:r>
                    <w:rPr>
                      <w:rFonts w:hint="eastAsia" w:ascii="Times New Roman" w:hAnsi="Times New Roman"/>
                    </w:rPr>
                    <w:t>0.17</w:t>
                  </w:r>
                </w:p>
              </w:tc>
              <w:tc>
                <w:tcPr>
                  <w:tcW w:w="882" w:type="pct"/>
                  <w:vAlign w:val="center"/>
                </w:tcPr>
                <w:p>
                  <w:pPr>
                    <w:jc w:val="center"/>
                    <w:rPr>
                      <w:rFonts w:ascii="Times New Roman" w:hAnsi="Times New Roman"/>
                    </w:rPr>
                  </w:pPr>
                  <w:r>
                    <w:rPr>
                      <w:rFonts w:hint="eastAsia" w:ascii="Times New Roman" w:hAnsi="Times New Roman"/>
                    </w:rPr>
                    <w:t>2575</w:t>
                  </w:r>
                </w:p>
              </w:tc>
              <w:tc>
                <w:tcPr>
                  <w:tcW w:w="1029" w:type="pct"/>
                  <w:vAlign w:val="center"/>
                </w:tcPr>
                <w:p>
                  <w:pPr>
                    <w:jc w:val="center"/>
                    <w:rPr>
                      <w:rFonts w:ascii="Times New Roman" w:hAnsi="Times New Roman"/>
                    </w:rPr>
                  </w:pPr>
                  <w:r>
                    <w:rPr>
                      <w:rFonts w:hint="eastAsia" w:ascii="Times New Roman" w:hAnsi="Times New Roman"/>
                    </w:rPr>
                    <w:t>2.96E-02</w:t>
                  </w:r>
                </w:p>
              </w:tc>
              <w:tc>
                <w:tcPr>
                  <w:tcW w:w="589" w:type="pct"/>
                  <w:vAlign w:val="center"/>
                </w:tcPr>
                <w:p>
                  <w:pPr>
                    <w:jc w:val="center"/>
                    <w:rPr>
                      <w:rFonts w:ascii="Times New Roman" w:hAnsi="Times New Roman"/>
                    </w:rPr>
                  </w:pPr>
                  <w:r>
                    <w:rPr>
                      <w:rFonts w:hint="eastAsia" w:ascii="Times New Roman" w:hAnsi="Times New Roman"/>
                    </w:rPr>
                    <w:t>1.48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2600</w:t>
                  </w:r>
                </w:p>
              </w:tc>
              <w:tc>
                <w:tcPr>
                  <w:tcW w:w="1029" w:type="pct"/>
                  <w:vAlign w:val="center"/>
                </w:tcPr>
                <w:p>
                  <w:pPr>
                    <w:jc w:val="center"/>
                    <w:rPr>
                      <w:rFonts w:ascii="Times New Roman" w:hAnsi="Times New Roman"/>
                    </w:rPr>
                  </w:pPr>
                  <w:r>
                    <w:rPr>
                      <w:rFonts w:hint="eastAsia" w:ascii="Times New Roman" w:hAnsi="Times New Roman"/>
                    </w:rPr>
                    <w:t>3.36E-03</w:t>
                  </w:r>
                </w:p>
              </w:tc>
              <w:tc>
                <w:tcPr>
                  <w:tcW w:w="589" w:type="pct"/>
                  <w:vAlign w:val="center"/>
                </w:tcPr>
                <w:p>
                  <w:pPr>
                    <w:jc w:val="center"/>
                    <w:rPr>
                      <w:rFonts w:ascii="Times New Roman" w:hAnsi="Times New Roman"/>
                    </w:rPr>
                  </w:pPr>
                  <w:r>
                    <w:rPr>
                      <w:rFonts w:hint="eastAsia" w:ascii="Times New Roman" w:hAnsi="Times New Roman"/>
                    </w:rPr>
                    <w:t>0.17</w:t>
                  </w:r>
                </w:p>
              </w:tc>
              <w:tc>
                <w:tcPr>
                  <w:tcW w:w="882" w:type="pct"/>
                  <w:vAlign w:val="center"/>
                </w:tcPr>
                <w:p>
                  <w:pPr>
                    <w:jc w:val="center"/>
                    <w:rPr>
                      <w:rFonts w:ascii="Times New Roman" w:hAnsi="Times New Roman"/>
                    </w:rPr>
                  </w:pPr>
                  <w:r>
                    <w:rPr>
                      <w:rFonts w:hint="eastAsia" w:ascii="Times New Roman" w:hAnsi="Times New Roman"/>
                    </w:rPr>
                    <w:t>2600</w:t>
                  </w:r>
                </w:p>
              </w:tc>
              <w:tc>
                <w:tcPr>
                  <w:tcW w:w="1029" w:type="pct"/>
                  <w:vAlign w:val="center"/>
                </w:tcPr>
                <w:p>
                  <w:pPr>
                    <w:jc w:val="center"/>
                    <w:rPr>
                      <w:rFonts w:ascii="Times New Roman" w:hAnsi="Times New Roman"/>
                    </w:rPr>
                  </w:pPr>
                  <w:r>
                    <w:rPr>
                      <w:rFonts w:hint="eastAsia" w:ascii="Times New Roman" w:hAnsi="Times New Roman"/>
                    </w:rPr>
                    <w:t>2.92E-02</w:t>
                  </w:r>
                </w:p>
              </w:tc>
              <w:tc>
                <w:tcPr>
                  <w:tcW w:w="589" w:type="pct"/>
                  <w:vAlign w:val="center"/>
                </w:tcPr>
                <w:p>
                  <w:pPr>
                    <w:jc w:val="center"/>
                    <w:rPr>
                      <w:rFonts w:ascii="Times New Roman" w:hAnsi="Times New Roman"/>
                    </w:rPr>
                  </w:pPr>
                  <w:r>
                    <w:rPr>
                      <w:rFonts w:hint="eastAsia" w:ascii="Times New Roman" w:hAnsi="Times New Roman"/>
                    </w:rPr>
                    <w:t>1.46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2625</w:t>
                  </w:r>
                </w:p>
              </w:tc>
              <w:tc>
                <w:tcPr>
                  <w:tcW w:w="1029" w:type="pct"/>
                  <w:vAlign w:val="center"/>
                </w:tcPr>
                <w:p>
                  <w:pPr>
                    <w:jc w:val="center"/>
                    <w:rPr>
                      <w:rFonts w:ascii="Times New Roman" w:hAnsi="Times New Roman"/>
                    </w:rPr>
                  </w:pPr>
                  <w:r>
                    <w:rPr>
                      <w:rFonts w:hint="eastAsia" w:ascii="Times New Roman" w:hAnsi="Times New Roman"/>
                    </w:rPr>
                    <w:t>3.32E-03</w:t>
                  </w:r>
                </w:p>
              </w:tc>
              <w:tc>
                <w:tcPr>
                  <w:tcW w:w="589" w:type="pct"/>
                  <w:vAlign w:val="center"/>
                </w:tcPr>
                <w:p>
                  <w:pPr>
                    <w:jc w:val="center"/>
                    <w:rPr>
                      <w:rFonts w:ascii="Times New Roman" w:hAnsi="Times New Roman"/>
                    </w:rPr>
                  </w:pPr>
                  <w:r>
                    <w:rPr>
                      <w:rFonts w:hint="eastAsia" w:ascii="Times New Roman" w:hAnsi="Times New Roman"/>
                    </w:rPr>
                    <w:t>0.17</w:t>
                  </w:r>
                </w:p>
              </w:tc>
              <w:tc>
                <w:tcPr>
                  <w:tcW w:w="882" w:type="pct"/>
                  <w:vAlign w:val="center"/>
                </w:tcPr>
                <w:p>
                  <w:pPr>
                    <w:jc w:val="center"/>
                    <w:rPr>
                      <w:rFonts w:ascii="Times New Roman" w:hAnsi="Times New Roman"/>
                    </w:rPr>
                  </w:pPr>
                  <w:r>
                    <w:rPr>
                      <w:rFonts w:hint="eastAsia" w:ascii="Times New Roman" w:hAnsi="Times New Roman"/>
                    </w:rPr>
                    <w:t>2625</w:t>
                  </w:r>
                </w:p>
              </w:tc>
              <w:tc>
                <w:tcPr>
                  <w:tcW w:w="1029" w:type="pct"/>
                  <w:vAlign w:val="center"/>
                </w:tcPr>
                <w:p>
                  <w:pPr>
                    <w:jc w:val="center"/>
                    <w:rPr>
                      <w:rFonts w:ascii="Times New Roman" w:hAnsi="Times New Roman"/>
                    </w:rPr>
                  </w:pPr>
                  <w:r>
                    <w:rPr>
                      <w:rFonts w:hint="eastAsia" w:ascii="Times New Roman" w:hAnsi="Times New Roman"/>
                    </w:rPr>
                    <w:t>2.88E-02</w:t>
                  </w:r>
                </w:p>
              </w:tc>
              <w:tc>
                <w:tcPr>
                  <w:tcW w:w="589" w:type="pct"/>
                  <w:vAlign w:val="center"/>
                </w:tcPr>
                <w:p>
                  <w:pPr>
                    <w:jc w:val="center"/>
                    <w:rPr>
                      <w:rFonts w:ascii="Times New Roman" w:hAnsi="Times New Roman"/>
                    </w:rPr>
                  </w:pPr>
                  <w:r>
                    <w:rPr>
                      <w:rFonts w:hint="eastAsia" w:ascii="Times New Roman" w:hAnsi="Times New Roman"/>
                    </w:rPr>
                    <w:t>1.44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2650</w:t>
                  </w:r>
                </w:p>
              </w:tc>
              <w:tc>
                <w:tcPr>
                  <w:tcW w:w="1029" w:type="pct"/>
                  <w:vAlign w:val="center"/>
                </w:tcPr>
                <w:p>
                  <w:pPr>
                    <w:jc w:val="center"/>
                    <w:rPr>
                      <w:rFonts w:ascii="Times New Roman" w:hAnsi="Times New Roman"/>
                    </w:rPr>
                  </w:pPr>
                  <w:r>
                    <w:rPr>
                      <w:rFonts w:hint="eastAsia" w:ascii="Times New Roman" w:hAnsi="Times New Roman"/>
                    </w:rPr>
                    <w:t>3.28E-03</w:t>
                  </w:r>
                </w:p>
              </w:tc>
              <w:tc>
                <w:tcPr>
                  <w:tcW w:w="589" w:type="pct"/>
                  <w:vAlign w:val="center"/>
                </w:tcPr>
                <w:p>
                  <w:pPr>
                    <w:jc w:val="center"/>
                    <w:rPr>
                      <w:rFonts w:ascii="Times New Roman" w:hAnsi="Times New Roman"/>
                    </w:rPr>
                  </w:pPr>
                  <w:r>
                    <w:rPr>
                      <w:rFonts w:hint="eastAsia" w:ascii="Times New Roman" w:hAnsi="Times New Roman"/>
                    </w:rPr>
                    <w:t>0.16</w:t>
                  </w:r>
                </w:p>
              </w:tc>
              <w:tc>
                <w:tcPr>
                  <w:tcW w:w="882" w:type="pct"/>
                  <w:vAlign w:val="center"/>
                </w:tcPr>
                <w:p>
                  <w:pPr>
                    <w:jc w:val="center"/>
                    <w:rPr>
                      <w:rFonts w:ascii="Times New Roman" w:hAnsi="Times New Roman"/>
                    </w:rPr>
                  </w:pPr>
                  <w:r>
                    <w:rPr>
                      <w:rFonts w:hint="eastAsia" w:ascii="Times New Roman" w:hAnsi="Times New Roman"/>
                    </w:rPr>
                    <w:t>2650</w:t>
                  </w:r>
                </w:p>
              </w:tc>
              <w:tc>
                <w:tcPr>
                  <w:tcW w:w="1029" w:type="pct"/>
                  <w:vAlign w:val="center"/>
                </w:tcPr>
                <w:p>
                  <w:pPr>
                    <w:jc w:val="center"/>
                    <w:rPr>
                      <w:rFonts w:ascii="Times New Roman" w:hAnsi="Times New Roman"/>
                    </w:rPr>
                  </w:pPr>
                  <w:r>
                    <w:rPr>
                      <w:rFonts w:hint="eastAsia" w:ascii="Times New Roman" w:hAnsi="Times New Roman"/>
                    </w:rPr>
                    <w:t>2.85E-02</w:t>
                  </w:r>
                </w:p>
              </w:tc>
              <w:tc>
                <w:tcPr>
                  <w:tcW w:w="589" w:type="pct"/>
                  <w:vAlign w:val="center"/>
                </w:tcPr>
                <w:p>
                  <w:pPr>
                    <w:jc w:val="center"/>
                    <w:rPr>
                      <w:rFonts w:ascii="Times New Roman" w:hAnsi="Times New Roman"/>
                    </w:rPr>
                  </w:pPr>
                  <w:r>
                    <w:rPr>
                      <w:rFonts w:hint="eastAsia" w:ascii="Times New Roman" w:hAnsi="Times New Roman"/>
                    </w:rPr>
                    <w:t>1.42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2675</w:t>
                  </w:r>
                </w:p>
              </w:tc>
              <w:tc>
                <w:tcPr>
                  <w:tcW w:w="1029" w:type="pct"/>
                  <w:vAlign w:val="center"/>
                </w:tcPr>
                <w:p>
                  <w:pPr>
                    <w:jc w:val="center"/>
                    <w:rPr>
                      <w:rFonts w:ascii="Times New Roman" w:hAnsi="Times New Roman"/>
                    </w:rPr>
                  </w:pPr>
                  <w:r>
                    <w:rPr>
                      <w:rFonts w:hint="eastAsia" w:ascii="Times New Roman" w:hAnsi="Times New Roman"/>
                    </w:rPr>
                    <w:t>3.24E-03</w:t>
                  </w:r>
                </w:p>
              </w:tc>
              <w:tc>
                <w:tcPr>
                  <w:tcW w:w="589" w:type="pct"/>
                  <w:vAlign w:val="center"/>
                </w:tcPr>
                <w:p>
                  <w:pPr>
                    <w:jc w:val="center"/>
                    <w:rPr>
                      <w:rFonts w:ascii="Times New Roman" w:hAnsi="Times New Roman"/>
                    </w:rPr>
                  </w:pPr>
                  <w:r>
                    <w:rPr>
                      <w:rFonts w:hint="eastAsia" w:ascii="Times New Roman" w:hAnsi="Times New Roman"/>
                    </w:rPr>
                    <w:t>0.16</w:t>
                  </w:r>
                </w:p>
              </w:tc>
              <w:tc>
                <w:tcPr>
                  <w:tcW w:w="882" w:type="pct"/>
                  <w:vAlign w:val="center"/>
                </w:tcPr>
                <w:p>
                  <w:pPr>
                    <w:jc w:val="center"/>
                    <w:rPr>
                      <w:rFonts w:ascii="Times New Roman" w:hAnsi="Times New Roman"/>
                    </w:rPr>
                  </w:pPr>
                  <w:r>
                    <w:rPr>
                      <w:rFonts w:hint="eastAsia" w:ascii="Times New Roman" w:hAnsi="Times New Roman"/>
                    </w:rPr>
                    <w:t>2675</w:t>
                  </w:r>
                </w:p>
              </w:tc>
              <w:tc>
                <w:tcPr>
                  <w:tcW w:w="1029" w:type="pct"/>
                  <w:vAlign w:val="center"/>
                </w:tcPr>
                <w:p>
                  <w:pPr>
                    <w:jc w:val="center"/>
                    <w:rPr>
                      <w:rFonts w:ascii="Times New Roman" w:hAnsi="Times New Roman"/>
                    </w:rPr>
                  </w:pPr>
                  <w:r>
                    <w:rPr>
                      <w:rFonts w:hint="eastAsia" w:ascii="Times New Roman" w:hAnsi="Times New Roman"/>
                    </w:rPr>
                    <w:t>2.81E-02</w:t>
                  </w:r>
                </w:p>
              </w:tc>
              <w:tc>
                <w:tcPr>
                  <w:tcW w:w="589" w:type="pct"/>
                  <w:vAlign w:val="center"/>
                </w:tcPr>
                <w:p>
                  <w:pPr>
                    <w:jc w:val="center"/>
                    <w:rPr>
                      <w:rFonts w:ascii="Times New Roman" w:hAnsi="Times New Roman"/>
                    </w:rPr>
                  </w:pPr>
                  <w:r>
                    <w:rPr>
                      <w:rFonts w:hint="eastAsia" w:ascii="Times New Roman" w:hAnsi="Times New Roman"/>
                    </w:rPr>
                    <w:t>1.41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2700</w:t>
                  </w:r>
                </w:p>
              </w:tc>
              <w:tc>
                <w:tcPr>
                  <w:tcW w:w="1029" w:type="pct"/>
                  <w:vAlign w:val="center"/>
                </w:tcPr>
                <w:p>
                  <w:pPr>
                    <w:jc w:val="center"/>
                    <w:rPr>
                      <w:rFonts w:ascii="Times New Roman" w:hAnsi="Times New Roman"/>
                    </w:rPr>
                  </w:pPr>
                  <w:r>
                    <w:rPr>
                      <w:rFonts w:hint="eastAsia" w:ascii="Times New Roman" w:hAnsi="Times New Roman"/>
                    </w:rPr>
                    <w:t>3.20E-03</w:t>
                  </w:r>
                </w:p>
              </w:tc>
              <w:tc>
                <w:tcPr>
                  <w:tcW w:w="589" w:type="pct"/>
                  <w:vAlign w:val="center"/>
                </w:tcPr>
                <w:p>
                  <w:pPr>
                    <w:jc w:val="center"/>
                    <w:rPr>
                      <w:rFonts w:ascii="Times New Roman" w:hAnsi="Times New Roman"/>
                    </w:rPr>
                  </w:pPr>
                  <w:r>
                    <w:rPr>
                      <w:rFonts w:hint="eastAsia" w:ascii="Times New Roman" w:hAnsi="Times New Roman"/>
                    </w:rPr>
                    <w:t>0.16</w:t>
                  </w:r>
                </w:p>
              </w:tc>
              <w:tc>
                <w:tcPr>
                  <w:tcW w:w="882" w:type="pct"/>
                  <w:vAlign w:val="center"/>
                </w:tcPr>
                <w:p>
                  <w:pPr>
                    <w:jc w:val="center"/>
                    <w:rPr>
                      <w:rFonts w:ascii="Times New Roman" w:hAnsi="Times New Roman"/>
                    </w:rPr>
                  </w:pPr>
                  <w:r>
                    <w:rPr>
                      <w:rFonts w:hint="eastAsia" w:ascii="Times New Roman" w:hAnsi="Times New Roman"/>
                    </w:rPr>
                    <w:t>2700</w:t>
                  </w:r>
                </w:p>
              </w:tc>
              <w:tc>
                <w:tcPr>
                  <w:tcW w:w="1029" w:type="pct"/>
                  <w:vAlign w:val="center"/>
                </w:tcPr>
                <w:p>
                  <w:pPr>
                    <w:jc w:val="center"/>
                    <w:rPr>
                      <w:rFonts w:ascii="Times New Roman" w:hAnsi="Times New Roman"/>
                    </w:rPr>
                  </w:pPr>
                  <w:r>
                    <w:rPr>
                      <w:rFonts w:hint="eastAsia" w:ascii="Times New Roman" w:hAnsi="Times New Roman"/>
                    </w:rPr>
                    <w:t>2.78E-02</w:t>
                  </w:r>
                </w:p>
              </w:tc>
              <w:tc>
                <w:tcPr>
                  <w:tcW w:w="589" w:type="pct"/>
                  <w:vAlign w:val="center"/>
                </w:tcPr>
                <w:p>
                  <w:pPr>
                    <w:jc w:val="center"/>
                    <w:rPr>
                      <w:rFonts w:ascii="Times New Roman" w:hAnsi="Times New Roman"/>
                    </w:rPr>
                  </w:pPr>
                  <w:r>
                    <w:rPr>
                      <w:rFonts w:hint="eastAsia" w:ascii="Times New Roman" w:hAnsi="Times New Roman"/>
                    </w:rPr>
                    <w:t>1.39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2725</w:t>
                  </w:r>
                </w:p>
              </w:tc>
              <w:tc>
                <w:tcPr>
                  <w:tcW w:w="1029" w:type="pct"/>
                  <w:vAlign w:val="center"/>
                </w:tcPr>
                <w:p>
                  <w:pPr>
                    <w:jc w:val="center"/>
                    <w:rPr>
                      <w:rFonts w:ascii="Times New Roman" w:hAnsi="Times New Roman"/>
                    </w:rPr>
                  </w:pPr>
                  <w:r>
                    <w:rPr>
                      <w:rFonts w:hint="eastAsia" w:ascii="Times New Roman" w:hAnsi="Times New Roman"/>
                    </w:rPr>
                    <w:t>3.16E-03</w:t>
                  </w:r>
                </w:p>
              </w:tc>
              <w:tc>
                <w:tcPr>
                  <w:tcW w:w="589" w:type="pct"/>
                  <w:vAlign w:val="center"/>
                </w:tcPr>
                <w:p>
                  <w:pPr>
                    <w:jc w:val="center"/>
                    <w:rPr>
                      <w:rFonts w:ascii="Times New Roman" w:hAnsi="Times New Roman"/>
                    </w:rPr>
                  </w:pPr>
                  <w:r>
                    <w:rPr>
                      <w:rFonts w:hint="eastAsia" w:ascii="Times New Roman" w:hAnsi="Times New Roman"/>
                    </w:rPr>
                    <w:t>0.16</w:t>
                  </w:r>
                </w:p>
              </w:tc>
              <w:tc>
                <w:tcPr>
                  <w:tcW w:w="882" w:type="pct"/>
                  <w:vAlign w:val="center"/>
                </w:tcPr>
                <w:p>
                  <w:pPr>
                    <w:jc w:val="center"/>
                    <w:rPr>
                      <w:rFonts w:ascii="Times New Roman" w:hAnsi="Times New Roman"/>
                    </w:rPr>
                  </w:pPr>
                  <w:r>
                    <w:rPr>
                      <w:rFonts w:hint="eastAsia" w:ascii="Times New Roman" w:hAnsi="Times New Roman"/>
                    </w:rPr>
                    <w:t>2725</w:t>
                  </w:r>
                </w:p>
              </w:tc>
              <w:tc>
                <w:tcPr>
                  <w:tcW w:w="1029" w:type="pct"/>
                  <w:vAlign w:val="center"/>
                </w:tcPr>
                <w:p>
                  <w:pPr>
                    <w:jc w:val="center"/>
                    <w:rPr>
                      <w:rFonts w:ascii="Times New Roman" w:hAnsi="Times New Roman"/>
                    </w:rPr>
                  </w:pPr>
                  <w:r>
                    <w:rPr>
                      <w:rFonts w:hint="eastAsia" w:ascii="Times New Roman" w:hAnsi="Times New Roman"/>
                    </w:rPr>
                    <w:t>2.75E-02</w:t>
                  </w:r>
                </w:p>
              </w:tc>
              <w:tc>
                <w:tcPr>
                  <w:tcW w:w="589" w:type="pct"/>
                  <w:vAlign w:val="center"/>
                </w:tcPr>
                <w:p>
                  <w:pPr>
                    <w:jc w:val="center"/>
                    <w:rPr>
                      <w:rFonts w:ascii="Times New Roman" w:hAnsi="Times New Roman"/>
                    </w:rPr>
                  </w:pPr>
                  <w:r>
                    <w:rPr>
                      <w:rFonts w:hint="eastAsia" w:ascii="Times New Roman" w:hAnsi="Times New Roman"/>
                    </w:rPr>
                    <w:t>1.37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2750</w:t>
                  </w:r>
                </w:p>
              </w:tc>
              <w:tc>
                <w:tcPr>
                  <w:tcW w:w="1029" w:type="pct"/>
                  <w:vAlign w:val="center"/>
                </w:tcPr>
                <w:p>
                  <w:pPr>
                    <w:jc w:val="center"/>
                    <w:rPr>
                      <w:rFonts w:ascii="Times New Roman" w:hAnsi="Times New Roman"/>
                    </w:rPr>
                  </w:pPr>
                  <w:r>
                    <w:rPr>
                      <w:rFonts w:hint="eastAsia" w:ascii="Times New Roman" w:hAnsi="Times New Roman"/>
                    </w:rPr>
                    <w:t>3.13E-03</w:t>
                  </w:r>
                </w:p>
              </w:tc>
              <w:tc>
                <w:tcPr>
                  <w:tcW w:w="589" w:type="pct"/>
                  <w:vAlign w:val="center"/>
                </w:tcPr>
                <w:p>
                  <w:pPr>
                    <w:jc w:val="center"/>
                    <w:rPr>
                      <w:rFonts w:ascii="Times New Roman" w:hAnsi="Times New Roman"/>
                    </w:rPr>
                  </w:pPr>
                  <w:r>
                    <w:rPr>
                      <w:rFonts w:hint="eastAsia" w:ascii="Times New Roman" w:hAnsi="Times New Roman"/>
                    </w:rPr>
                    <w:t>0.16</w:t>
                  </w:r>
                </w:p>
              </w:tc>
              <w:tc>
                <w:tcPr>
                  <w:tcW w:w="882" w:type="pct"/>
                  <w:vAlign w:val="center"/>
                </w:tcPr>
                <w:p>
                  <w:pPr>
                    <w:jc w:val="center"/>
                    <w:rPr>
                      <w:rFonts w:ascii="Times New Roman" w:hAnsi="Times New Roman"/>
                    </w:rPr>
                  </w:pPr>
                  <w:r>
                    <w:rPr>
                      <w:rFonts w:hint="eastAsia" w:ascii="Times New Roman" w:hAnsi="Times New Roman"/>
                    </w:rPr>
                    <w:t>2750</w:t>
                  </w:r>
                </w:p>
              </w:tc>
              <w:tc>
                <w:tcPr>
                  <w:tcW w:w="1029" w:type="pct"/>
                  <w:vAlign w:val="center"/>
                </w:tcPr>
                <w:p>
                  <w:pPr>
                    <w:jc w:val="center"/>
                    <w:rPr>
                      <w:rFonts w:ascii="Times New Roman" w:hAnsi="Times New Roman"/>
                    </w:rPr>
                  </w:pPr>
                  <w:r>
                    <w:rPr>
                      <w:rFonts w:hint="eastAsia" w:ascii="Times New Roman" w:hAnsi="Times New Roman"/>
                    </w:rPr>
                    <w:t>2.71E-02</w:t>
                  </w:r>
                </w:p>
              </w:tc>
              <w:tc>
                <w:tcPr>
                  <w:tcW w:w="589" w:type="pct"/>
                  <w:vAlign w:val="center"/>
                </w:tcPr>
                <w:p>
                  <w:pPr>
                    <w:jc w:val="center"/>
                    <w:rPr>
                      <w:rFonts w:ascii="Times New Roman" w:hAnsi="Times New Roman"/>
                    </w:rPr>
                  </w:pPr>
                  <w:r>
                    <w:rPr>
                      <w:rFonts w:hint="eastAsia" w:ascii="Times New Roman" w:hAnsi="Times New Roman"/>
                    </w:rPr>
                    <w:t>1.36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2775</w:t>
                  </w:r>
                </w:p>
              </w:tc>
              <w:tc>
                <w:tcPr>
                  <w:tcW w:w="1029" w:type="pct"/>
                  <w:vAlign w:val="center"/>
                </w:tcPr>
                <w:p>
                  <w:pPr>
                    <w:jc w:val="center"/>
                    <w:rPr>
                      <w:rFonts w:ascii="Times New Roman" w:hAnsi="Times New Roman"/>
                    </w:rPr>
                  </w:pPr>
                  <w:r>
                    <w:rPr>
                      <w:rFonts w:hint="eastAsia" w:ascii="Times New Roman" w:hAnsi="Times New Roman"/>
                    </w:rPr>
                    <w:t>3.09E-03</w:t>
                  </w:r>
                </w:p>
              </w:tc>
              <w:tc>
                <w:tcPr>
                  <w:tcW w:w="589" w:type="pct"/>
                  <w:vAlign w:val="center"/>
                </w:tcPr>
                <w:p>
                  <w:pPr>
                    <w:jc w:val="center"/>
                    <w:rPr>
                      <w:rFonts w:ascii="Times New Roman" w:hAnsi="Times New Roman"/>
                    </w:rPr>
                  </w:pPr>
                  <w:r>
                    <w:rPr>
                      <w:rFonts w:hint="eastAsia" w:ascii="Times New Roman" w:hAnsi="Times New Roman"/>
                    </w:rPr>
                    <w:t>0.15</w:t>
                  </w:r>
                </w:p>
              </w:tc>
              <w:tc>
                <w:tcPr>
                  <w:tcW w:w="882" w:type="pct"/>
                  <w:vAlign w:val="center"/>
                </w:tcPr>
                <w:p>
                  <w:pPr>
                    <w:jc w:val="center"/>
                    <w:rPr>
                      <w:rFonts w:ascii="Times New Roman" w:hAnsi="Times New Roman"/>
                    </w:rPr>
                  </w:pPr>
                  <w:r>
                    <w:rPr>
                      <w:rFonts w:hint="eastAsia" w:ascii="Times New Roman" w:hAnsi="Times New Roman"/>
                    </w:rPr>
                    <w:t>2775</w:t>
                  </w:r>
                </w:p>
              </w:tc>
              <w:tc>
                <w:tcPr>
                  <w:tcW w:w="1029" w:type="pct"/>
                  <w:vAlign w:val="center"/>
                </w:tcPr>
                <w:p>
                  <w:pPr>
                    <w:jc w:val="center"/>
                    <w:rPr>
                      <w:rFonts w:ascii="Times New Roman" w:hAnsi="Times New Roman"/>
                    </w:rPr>
                  </w:pPr>
                  <w:r>
                    <w:rPr>
                      <w:rFonts w:hint="eastAsia" w:ascii="Times New Roman" w:hAnsi="Times New Roman"/>
                    </w:rPr>
                    <w:t>2.68E-02</w:t>
                  </w:r>
                </w:p>
              </w:tc>
              <w:tc>
                <w:tcPr>
                  <w:tcW w:w="589" w:type="pct"/>
                  <w:vAlign w:val="center"/>
                </w:tcPr>
                <w:p>
                  <w:pPr>
                    <w:jc w:val="center"/>
                    <w:rPr>
                      <w:rFonts w:ascii="Times New Roman" w:hAnsi="Times New Roman"/>
                    </w:rPr>
                  </w:pPr>
                  <w:r>
                    <w:rPr>
                      <w:rFonts w:hint="eastAsia" w:ascii="Times New Roman" w:hAnsi="Times New Roman"/>
                    </w:rPr>
                    <w:t>1.34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2800</w:t>
                  </w:r>
                </w:p>
              </w:tc>
              <w:tc>
                <w:tcPr>
                  <w:tcW w:w="1029" w:type="pct"/>
                  <w:vAlign w:val="center"/>
                </w:tcPr>
                <w:p>
                  <w:pPr>
                    <w:jc w:val="center"/>
                    <w:rPr>
                      <w:rFonts w:ascii="Times New Roman" w:hAnsi="Times New Roman"/>
                    </w:rPr>
                  </w:pPr>
                  <w:r>
                    <w:rPr>
                      <w:rFonts w:hint="eastAsia" w:ascii="Times New Roman" w:hAnsi="Times New Roman"/>
                    </w:rPr>
                    <w:t>3.05E-03</w:t>
                  </w:r>
                </w:p>
              </w:tc>
              <w:tc>
                <w:tcPr>
                  <w:tcW w:w="589" w:type="pct"/>
                  <w:vAlign w:val="center"/>
                </w:tcPr>
                <w:p>
                  <w:pPr>
                    <w:jc w:val="center"/>
                    <w:rPr>
                      <w:rFonts w:ascii="Times New Roman" w:hAnsi="Times New Roman"/>
                    </w:rPr>
                  </w:pPr>
                  <w:r>
                    <w:rPr>
                      <w:rFonts w:hint="eastAsia" w:ascii="Times New Roman" w:hAnsi="Times New Roman"/>
                    </w:rPr>
                    <w:t>0.15</w:t>
                  </w:r>
                </w:p>
              </w:tc>
              <w:tc>
                <w:tcPr>
                  <w:tcW w:w="882" w:type="pct"/>
                  <w:vAlign w:val="center"/>
                </w:tcPr>
                <w:p>
                  <w:pPr>
                    <w:jc w:val="center"/>
                    <w:rPr>
                      <w:rFonts w:ascii="Times New Roman" w:hAnsi="Times New Roman"/>
                    </w:rPr>
                  </w:pPr>
                  <w:r>
                    <w:rPr>
                      <w:rFonts w:hint="eastAsia" w:ascii="Times New Roman" w:hAnsi="Times New Roman"/>
                    </w:rPr>
                    <w:t>2800</w:t>
                  </w:r>
                </w:p>
              </w:tc>
              <w:tc>
                <w:tcPr>
                  <w:tcW w:w="1029" w:type="pct"/>
                  <w:vAlign w:val="center"/>
                </w:tcPr>
                <w:p>
                  <w:pPr>
                    <w:jc w:val="center"/>
                    <w:rPr>
                      <w:rFonts w:ascii="Times New Roman" w:hAnsi="Times New Roman"/>
                    </w:rPr>
                  </w:pPr>
                  <w:r>
                    <w:rPr>
                      <w:rFonts w:hint="eastAsia" w:ascii="Times New Roman" w:hAnsi="Times New Roman"/>
                    </w:rPr>
                    <w:t>2.65E-02</w:t>
                  </w:r>
                </w:p>
              </w:tc>
              <w:tc>
                <w:tcPr>
                  <w:tcW w:w="589" w:type="pct"/>
                  <w:vAlign w:val="center"/>
                </w:tcPr>
                <w:p>
                  <w:pPr>
                    <w:jc w:val="center"/>
                    <w:rPr>
                      <w:rFonts w:ascii="Times New Roman" w:hAnsi="Times New Roman"/>
                    </w:rPr>
                  </w:pPr>
                  <w:r>
                    <w:rPr>
                      <w:rFonts w:hint="eastAsia" w:ascii="Times New Roman" w:hAnsi="Times New Roman"/>
                    </w:rPr>
                    <w:t>1.33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2825</w:t>
                  </w:r>
                </w:p>
              </w:tc>
              <w:tc>
                <w:tcPr>
                  <w:tcW w:w="1029" w:type="pct"/>
                  <w:vAlign w:val="center"/>
                </w:tcPr>
                <w:p>
                  <w:pPr>
                    <w:jc w:val="center"/>
                    <w:rPr>
                      <w:rFonts w:ascii="Times New Roman" w:hAnsi="Times New Roman"/>
                    </w:rPr>
                  </w:pPr>
                  <w:r>
                    <w:rPr>
                      <w:rFonts w:hint="eastAsia" w:ascii="Times New Roman" w:hAnsi="Times New Roman"/>
                    </w:rPr>
                    <w:t>3.02E-03</w:t>
                  </w:r>
                </w:p>
              </w:tc>
              <w:tc>
                <w:tcPr>
                  <w:tcW w:w="589" w:type="pct"/>
                  <w:vAlign w:val="center"/>
                </w:tcPr>
                <w:p>
                  <w:pPr>
                    <w:jc w:val="center"/>
                    <w:rPr>
                      <w:rFonts w:ascii="Times New Roman" w:hAnsi="Times New Roman"/>
                    </w:rPr>
                  </w:pPr>
                  <w:r>
                    <w:rPr>
                      <w:rFonts w:hint="eastAsia" w:ascii="Times New Roman" w:hAnsi="Times New Roman"/>
                    </w:rPr>
                    <w:t>0.15</w:t>
                  </w:r>
                </w:p>
              </w:tc>
              <w:tc>
                <w:tcPr>
                  <w:tcW w:w="882" w:type="pct"/>
                  <w:vAlign w:val="center"/>
                </w:tcPr>
                <w:p>
                  <w:pPr>
                    <w:jc w:val="center"/>
                    <w:rPr>
                      <w:rFonts w:ascii="Times New Roman" w:hAnsi="Times New Roman"/>
                    </w:rPr>
                  </w:pPr>
                  <w:r>
                    <w:rPr>
                      <w:rFonts w:hint="eastAsia" w:ascii="Times New Roman" w:hAnsi="Times New Roman"/>
                    </w:rPr>
                    <w:t>2825</w:t>
                  </w:r>
                </w:p>
              </w:tc>
              <w:tc>
                <w:tcPr>
                  <w:tcW w:w="1029" w:type="pct"/>
                  <w:vAlign w:val="center"/>
                </w:tcPr>
                <w:p>
                  <w:pPr>
                    <w:jc w:val="center"/>
                    <w:rPr>
                      <w:rFonts w:ascii="Times New Roman" w:hAnsi="Times New Roman"/>
                    </w:rPr>
                  </w:pPr>
                  <w:r>
                    <w:rPr>
                      <w:rFonts w:hint="eastAsia" w:ascii="Times New Roman" w:hAnsi="Times New Roman"/>
                    </w:rPr>
                    <w:t>2.62E-02</w:t>
                  </w:r>
                </w:p>
              </w:tc>
              <w:tc>
                <w:tcPr>
                  <w:tcW w:w="589" w:type="pct"/>
                  <w:vAlign w:val="center"/>
                </w:tcPr>
                <w:p>
                  <w:pPr>
                    <w:jc w:val="center"/>
                    <w:rPr>
                      <w:rFonts w:ascii="Times New Roman" w:hAnsi="Times New Roman"/>
                    </w:rPr>
                  </w:pPr>
                  <w:r>
                    <w:rPr>
                      <w:rFonts w:hint="eastAsia" w:ascii="Times New Roman" w:hAnsi="Times New Roman"/>
                    </w:rPr>
                    <w:t>1.31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2850</w:t>
                  </w:r>
                </w:p>
              </w:tc>
              <w:tc>
                <w:tcPr>
                  <w:tcW w:w="1029" w:type="pct"/>
                  <w:vAlign w:val="center"/>
                </w:tcPr>
                <w:p>
                  <w:pPr>
                    <w:jc w:val="center"/>
                    <w:rPr>
                      <w:rFonts w:ascii="Times New Roman" w:hAnsi="Times New Roman"/>
                    </w:rPr>
                  </w:pPr>
                  <w:r>
                    <w:rPr>
                      <w:rFonts w:hint="eastAsia" w:ascii="Times New Roman" w:hAnsi="Times New Roman"/>
                    </w:rPr>
                    <w:t>2.99E-03</w:t>
                  </w:r>
                </w:p>
              </w:tc>
              <w:tc>
                <w:tcPr>
                  <w:tcW w:w="589" w:type="pct"/>
                  <w:vAlign w:val="center"/>
                </w:tcPr>
                <w:p>
                  <w:pPr>
                    <w:jc w:val="center"/>
                    <w:rPr>
                      <w:rFonts w:ascii="Times New Roman" w:hAnsi="Times New Roman"/>
                    </w:rPr>
                  </w:pPr>
                  <w:r>
                    <w:rPr>
                      <w:rFonts w:hint="eastAsia" w:ascii="Times New Roman" w:hAnsi="Times New Roman"/>
                    </w:rPr>
                    <w:t>0.15</w:t>
                  </w:r>
                </w:p>
              </w:tc>
              <w:tc>
                <w:tcPr>
                  <w:tcW w:w="882" w:type="pct"/>
                  <w:vAlign w:val="center"/>
                </w:tcPr>
                <w:p>
                  <w:pPr>
                    <w:jc w:val="center"/>
                    <w:rPr>
                      <w:rFonts w:ascii="Times New Roman" w:hAnsi="Times New Roman"/>
                    </w:rPr>
                  </w:pPr>
                  <w:r>
                    <w:rPr>
                      <w:rFonts w:hint="eastAsia" w:ascii="Times New Roman" w:hAnsi="Times New Roman"/>
                    </w:rPr>
                    <w:t>2850</w:t>
                  </w:r>
                </w:p>
              </w:tc>
              <w:tc>
                <w:tcPr>
                  <w:tcW w:w="1029" w:type="pct"/>
                  <w:vAlign w:val="center"/>
                </w:tcPr>
                <w:p>
                  <w:pPr>
                    <w:jc w:val="center"/>
                    <w:rPr>
                      <w:rFonts w:ascii="Times New Roman" w:hAnsi="Times New Roman"/>
                    </w:rPr>
                  </w:pPr>
                  <w:r>
                    <w:rPr>
                      <w:rFonts w:hint="eastAsia" w:ascii="Times New Roman" w:hAnsi="Times New Roman"/>
                    </w:rPr>
                    <w:t>2.59E-02</w:t>
                  </w:r>
                </w:p>
              </w:tc>
              <w:tc>
                <w:tcPr>
                  <w:tcW w:w="589" w:type="pct"/>
                  <w:vAlign w:val="center"/>
                </w:tcPr>
                <w:p>
                  <w:pPr>
                    <w:jc w:val="center"/>
                    <w:rPr>
                      <w:rFonts w:ascii="Times New Roman" w:hAnsi="Times New Roman"/>
                    </w:rPr>
                  </w:pPr>
                  <w:r>
                    <w:rPr>
                      <w:rFonts w:hint="eastAsia" w:ascii="Times New Roman" w:hAnsi="Times New Roman"/>
                    </w:rPr>
                    <w:t>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2875</w:t>
                  </w:r>
                </w:p>
              </w:tc>
              <w:tc>
                <w:tcPr>
                  <w:tcW w:w="1029" w:type="pct"/>
                  <w:vAlign w:val="center"/>
                </w:tcPr>
                <w:p>
                  <w:pPr>
                    <w:jc w:val="center"/>
                    <w:rPr>
                      <w:rFonts w:ascii="Times New Roman" w:hAnsi="Times New Roman"/>
                    </w:rPr>
                  </w:pPr>
                  <w:r>
                    <w:rPr>
                      <w:rFonts w:hint="eastAsia" w:ascii="Times New Roman" w:hAnsi="Times New Roman"/>
                    </w:rPr>
                    <w:t>2.95E-03</w:t>
                  </w:r>
                </w:p>
              </w:tc>
              <w:tc>
                <w:tcPr>
                  <w:tcW w:w="589" w:type="pct"/>
                  <w:vAlign w:val="center"/>
                </w:tcPr>
                <w:p>
                  <w:pPr>
                    <w:jc w:val="center"/>
                    <w:rPr>
                      <w:rFonts w:ascii="Times New Roman" w:hAnsi="Times New Roman"/>
                    </w:rPr>
                  </w:pPr>
                  <w:r>
                    <w:rPr>
                      <w:rFonts w:hint="eastAsia" w:ascii="Times New Roman" w:hAnsi="Times New Roman"/>
                    </w:rPr>
                    <w:t>0.15</w:t>
                  </w:r>
                </w:p>
              </w:tc>
              <w:tc>
                <w:tcPr>
                  <w:tcW w:w="882" w:type="pct"/>
                  <w:vAlign w:val="center"/>
                </w:tcPr>
                <w:p>
                  <w:pPr>
                    <w:jc w:val="center"/>
                    <w:rPr>
                      <w:rFonts w:ascii="Times New Roman" w:hAnsi="Times New Roman"/>
                    </w:rPr>
                  </w:pPr>
                  <w:r>
                    <w:rPr>
                      <w:rFonts w:hint="eastAsia" w:ascii="Times New Roman" w:hAnsi="Times New Roman"/>
                    </w:rPr>
                    <w:t>2875</w:t>
                  </w:r>
                </w:p>
              </w:tc>
              <w:tc>
                <w:tcPr>
                  <w:tcW w:w="1029" w:type="pct"/>
                  <w:vAlign w:val="center"/>
                </w:tcPr>
                <w:p>
                  <w:pPr>
                    <w:jc w:val="center"/>
                    <w:rPr>
                      <w:rFonts w:ascii="Times New Roman" w:hAnsi="Times New Roman"/>
                    </w:rPr>
                  </w:pPr>
                  <w:r>
                    <w:rPr>
                      <w:rFonts w:hint="eastAsia" w:ascii="Times New Roman" w:hAnsi="Times New Roman"/>
                    </w:rPr>
                    <w:t>2.56E-02</w:t>
                  </w:r>
                </w:p>
              </w:tc>
              <w:tc>
                <w:tcPr>
                  <w:tcW w:w="589" w:type="pct"/>
                  <w:vAlign w:val="center"/>
                </w:tcPr>
                <w:p>
                  <w:pPr>
                    <w:jc w:val="center"/>
                    <w:rPr>
                      <w:rFonts w:ascii="Times New Roman" w:hAnsi="Times New Roman"/>
                    </w:rPr>
                  </w:pPr>
                  <w:r>
                    <w:rPr>
                      <w:rFonts w:hint="eastAsia" w:ascii="Times New Roman" w:hAnsi="Times New Roman"/>
                    </w:rPr>
                    <w:t>1.28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2900</w:t>
                  </w:r>
                </w:p>
              </w:tc>
              <w:tc>
                <w:tcPr>
                  <w:tcW w:w="1029" w:type="pct"/>
                  <w:vAlign w:val="center"/>
                </w:tcPr>
                <w:p>
                  <w:pPr>
                    <w:jc w:val="center"/>
                    <w:rPr>
                      <w:rFonts w:ascii="Times New Roman" w:hAnsi="Times New Roman"/>
                    </w:rPr>
                  </w:pPr>
                  <w:r>
                    <w:rPr>
                      <w:rFonts w:hint="eastAsia" w:ascii="Times New Roman" w:hAnsi="Times New Roman"/>
                    </w:rPr>
                    <w:t>2.92E-03</w:t>
                  </w:r>
                </w:p>
              </w:tc>
              <w:tc>
                <w:tcPr>
                  <w:tcW w:w="589" w:type="pct"/>
                  <w:vAlign w:val="center"/>
                </w:tcPr>
                <w:p>
                  <w:pPr>
                    <w:jc w:val="center"/>
                    <w:rPr>
                      <w:rFonts w:ascii="Times New Roman" w:hAnsi="Times New Roman"/>
                    </w:rPr>
                  </w:pPr>
                  <w:r>
                    <w:rPr>
                      <w:rFonts w:hint="eastAsia" w:ascii="Times New Roman" w:hAnsi="Times New Roman"/>
                    </w:rPr>
                    <w:t>0.15</w:t>
                  </w:r>
                </w:p>
              </w:tc>
              <w:tc>
                <w:tcPr>
                  <w:tcW w:w="882" w:type="pct"/>
                  <w:vAlign w:val="center"/>
                </w:tcPr>
                <w:p>
                  <w:pPr>
                    <w:jc w:val="center"/>
                    <w:rPr>
                      <w:rFonts w:ascii="Times New Roman" w:hAnsi="Times New Roman"/>
                    </w:rPr>
                  </w:pPr>
                  <w:r>
                    <w:rPr>
                      <w:rFonts w:hint="eastAsia" w:ascii="Times New Roman" w:hAnsi="Times New Roman"/>
                    </w:rPr>
                    <w:t>2900</w:t>
                  </w:r>
                </w:p>
              </w:tc>
              <w:tc>
                <w:tcPr>
                  <w:tcW w:w="1029" w:type="pct"/>
                  <w:vAlign w:val="center"/>
                </w:tcPr>
                <w:p>
                  <w:pPr>
                    <w:jc w:val="center"/>
                    <w:rPr>
                      <w:rFonts w:ascii="Times New Roman" w:hAnsi="Times New Roman"/>
                    </w:rPr>
                  </w:pPr>
                  <w:r>
                    <w:rPr>
                      <w:rFonts w:hint="eastAsia" w:ascii="Times New Roman" w:hAnsi="Times New Roman"/>
                    </w:rPr>
                    <w:t>2.53E-02</w:t>
                  </w:r>
                </w:p>
              </w:tc>
              <w:tc>
                <w:tcPr>
                  <w:tcW w:w="589" w:type="pct"/>
                  <w:vAlign w:val="center"/>
                </w:tcPr>
                <w:p>
                  <w:pPr>
                    <w:jc w:val="center"/>
                    <w:rPr>
                      <w:rFonts w:ascii="Times New Roman" w:hAnsi="Times New Roman"/>
                    </w:rPr>
                  </w:pPr>
                  <w:r>
                    <w:rPr>
                      <w:rFonts w:hint="eastAsia" w:ascii="Times New Roman" w:hAnsi="Times New Roman"/>
                    </w:rPr>
                    <w:t>1.27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2925</w:t>
                  </w:r>
                </w:p>
              </w:tc>
              <w:tc>
                <w:tcPr>
                  <w:tcW w:w="1029" w:type="pct"/>
                  <w:vAlign w:val="center"/>
                </w:tcPr>
                <w:p>
                  <w:pPr>
                    <w:jc w:val="center"/>
                    <w:rPr>
                      <w:rFonts w:ascii="Times New Roman" w:hAnsi="Times New Roman"/>
                    </w:rPr>
                  </w:pPr>
                  <w:r>
                    <w:rPr>
                      <w:rFonts w:hint="eastAsia" w:ascii="Times New Roman" w:hAnsi="Times New Roman"/>
                    </w:rPr>
                    <w:t>2.89E-03</w:t>
                  </w:r>
                </w:p>
              </w:tc>
              <w:tc>
                <w:tcPr>
                  <w:tcW w:w="589" w:type="pct"/>
                  <w:vAlign w:val="center"/>
                </w:tcPr>
                <w:p>
                  <w:pPr>
                    <w:jc w:val="center"/>
                    <w:rPr>
                      <w:rFonts w:ascii="Times New Roman" w:hAnsi="Times New Roman"/>
                    </w:rPr>
                  </w:pPr>
                  <w:r>
                    <w:rPr>
                      <w:rFonts w:hint="eastAsia" w:ascii="Times New Roman" w:hAnsi="Times New Roman"/>
                    </w:rPr>
                    <w:t>0.14</w:t>
                  </w:r>
                </w:p>
              </w:tc>
              <w:tc>
                <w:tcPr>
                  <w:tcW w:w="882" w:type="pct"/>
                  <w:vAlign w:val="center"/>
                </w:tcPr>
                <w:p>
                  <w:pPr>
                    <w:jc w:val="center"/>
                    <w:rPr>
                      <w:rFonts w:ascii="Times New Roman" w:hAnsi="Times New Roman"/>
                    </w:rPr>
                  </w:pPr>
                  <w:r>
                    <w:rPr>
                      <w:rFonts w:hint="eastAsia" w:ascii="Times New Roman" w:hAnsi="Times New Roman"/>
                    </w:rPr>
                    <w:t>2925</w:t>
                  </w:r>
                </w:p>
              </w:tc>
              <w:tc>
                <w:tcPr>
                  <w:tcW w:w="1029" w:type="pct"/>
                  <w:vAlign w:val="center"/>
                </w:tcPr>
                <w:p>
                  <w:pPr>
                    <w:jc w:val="center"/>
                    <w:rPr>
                      <w:rFonts w:ascii="Times New Roman" w:hAnsi="Times New Roman"/>
                    </w:rPr>
                  </w:pPr>
                  <w:r>
                    <w:rPr>
                      <w:rFonts w:hint="eastAsia" w:ascii="Times New Roman" w:hAnsi="Times New Roman"/>
                    </w:rPr>
                    <w:t>2.51E-02</w:t>
                  </w:r>
                </w:p>
              </w:tc>
              <w:tc>
                <w:tcPr>
                  <w:tcW w:w="589" w:type="pct"/>
                  <w:vAlign w:val="center"/>
                </w:tcPr>
                <w:p>
                  <w:pPr>
                    <w:jc w:val="center"/>
                    <w:rPr>
                      <w:rFonts w:ascii="Times New Roman" w:hAnsi="Times New Roman"/>
                    </w:rPr>
                  </w:pPr>
                  <w:r>
                    <w:rPr>
                      <w:rFonts w:hint="eastAsia" w:ascii="Times New Roman" w:hAnsi="Times New Roman"/>
                    </w:rPr>
                    <w:t>1.25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2950</w:t>
                  </w:r>
                </w:p>
              </w:tc>
              <w:tc>
                <w:tcPr>
                  <w:tcW w:w="1029" w:type="pct"/>
                  <w:vAlign w:val="center"/>
                </w:tcPr>
                <w:p>
                  <w:pPr>
                    <w:jc w:val="center"/>
                    <w:rPr>
                      <w:rFonts w:ascii="Times New Roman" w:hAnsi="Times New Roman"/>
                    </w:rPr>
                  </w:pPr>
                  <w:r>
                    <w:rPr>
                      <w:rFonts w:hint="eastAsia" w:ascii="Times New Roman" w:hAnsi="Times New Roman"/>
                    </w:rPr>
                    <w:t>2.85E-03</w:t>
                  </w:r>
                </w:p>
              </w:tc>
              <w:tc>
                <w:tcPr>
                  <w:tcW w:w="589" w:type="pct"/>
                  <w:vAlign w:val="center"/>
                </w:tcPr>
                <w:p>
                  <w:pPr>
                    <w:jc w:val="center"/>
                    <w:rPr>
                      <w:rFonts w:ascii="Times New Roman" w:hAnsi="Times New Roman"/>
                    </w:rPr>
                  </w:pPr>
                  <w:r>
                    <w:rPr>
                      <w:rFonts w:hint="eastAsia" w:ascii="Times New Roman" w:hAnsi="Times New Roman"/>
                    </w:rPr>
                    <w:t>0.14</w:t>
                  </w:r>
                </w:p>
              </w:tc>
              <w:tc>
                <w:tcPr>
                  <w:tcW w:w="882" w:type="pct"/>
                  <w:vAlign w:val="center"/>
                </w:tcPr>
                <w:p>
                  <w:pPr>
                    <w:jc w:val="center"/>
                    <w:rPr>
                      <w:rFonts w:ascii="Times New Roman" w:hAnsi="Times New Roman"/>
                    </w:rPr>
                  </w:pPr>
                  <w:r>
                    <w:rPr>
                      <w:rFonts w:hint="eastAsia" w:ascii="Times New Roman" w:hAnsi="Times New Roman"/>
                    </w:rPr>
                    <w:t>2950</w:t>
                  </w:r>
                </w:p>
              </w:tc>
              <w:tc>
                <w:tcPr>
                  <w:tcW w:w="1029" w:type="pct"/>
                  <w:vAlign w:val="center"/>
                </w:tcPr>
                <w:p>
                  <w:pPr>
                    <w:jc w:val="center"/>
                    <w:rPr>
                      <w:rFonts w:ascii="Times New Roman" w:hAnsi="Times New Roman"/>
                    </w:rPr>
                  </w:pPr>
                  <w:r>
                    <w:rPr>
                      <w:rFonts w:hint="eastAsia" w:ascii="Times New Roman" w:hAnsi="Times New Roman"/>
                    </w:rPr>
                    <w:t>2.48E-02</w:t>
                  </w:r>
                </w:p>
              </w:tc>
              <w:tc>
                <w:tcPr>
                  <w:tcW w:w="589" w:type="pct"/>
                  <w:vAlign w:val="center"/>
                </w:tcPr>
                <w:p>
                  <w:pPr>
                    <w:jc w:val="center"/>
                    <w:rPr>
                      <w:rFonts w:ascii="Times New Roman" w:hAnsi="Times New Roman"/>
                    </w:rPr>
                  </w:pPr>
                  <w:r>
                    <w:rPr>
                      <w:rFonts w:hint="eastAsia" w:ascii="Times New Roman" w:hAnsi="Times New Roman"/>
                    </w:rPr>
                    <w:t>1.24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2975</w:t>
                  </w:r>
                </w:p>
              </w:tc>
              <w:tc>
                <w:tcPr>
                  <w:tcW w:w="1029" w:type="pct"/>
                  <w:vAlign w:val="center"/>
                </w:tcPr>
                <w:p>
                  <w:pPr>
                    <w:jc w:val="center"/>
                    <w:rPr>
                      <w:rFonts w:ascii="Times New Roman" w:hAnsi="Times New Roman"/>
                    </w:rPr>
                  </w:pPr>
                  <w:r>
                    <w:rPr>
                      <w:rFonts w:hint="eastAsia" w:ascii="Times New Roman" w:hAnsi="Times New Roman"/>
                    </w:rPr>
                    <w:t>2.82E-03</w:t>
                  </w:r>
                </w:p>
              </w:tc>
              <w:tc>
                <w:tcPr>
                  <w:tcW w:w="589" w:type="pct"/>
                  <w:vAlign w:val="center"/>
                </w:tcPr>
                <w:p>
                  <w:pPr>
                    <w:jc w:val="center"/>
                    <w:rPr>
                      <w:rFonts w:ascii="Times New Roman" w:hAnsi="Times New Roman"/>
                    </w:rPr>
                  </w:pPr>
                  <w:r>
                    <w:rPr>
                      <w:rFonts w:hint="eastAsia" w:ascii="Times New Roman" w:hAnsi="Times New Roman"/>
                    </w:rPr>
                    <w:t>0.14</w:t>
                  </w:r>
                </w:p>
              </w:tc>
              <w:tc>
                <w:tcPr>
                  <w:tcW w:w="882" w:type="pct"/>
                  <w:vAlign w:val="center"/>
                </w:tcPr>
                <w:p>
                  <w:pPr>
                    <w:jc w:val="center"/>
                    <w:rPr>
                      <w:rFonts w:ascii="Times New Roman" w:hAnsi="Times New Roman"/>
                    </w:rPr>
                  </w:pPr>
                  <w:r>
                    <w:rPr>
                      <w:rFonts w:hint="eastAsia" w:ascii="Times New Roman" w:hAnsi="Times New Roman"/>
                    </w:rPr>
                    <w:t>2975</w:t>
                  </w:r>
                </w:p>
              </w:tc>
              <w:tc>
                <w:tcPr>
                  <w:tcW w:w="1029" w:type="pct"/>
                  <w:vAlign w:val="center"/>
                </w:tcPr>
                <w:p>
                  <w:pPr>
                    <w:jc w:val="center"/>
                    <w:rPr>
                      <w:rFonts w:ascii="Times New Roman" w:hAnsi="Times New Roman"/>
                    </w:rPr>
                  </w:pPr>
                  <w:r>
                    <w:rPr>
                      <w:rFonts w:hint="eastAsia" w:ascii="Times New Roman" w:hAnsi="Times New Roman"/>
                    </w:rPr>
                    <w:t>2.45E-02</w:t>
                  </w:r>
                </w:p>
              </w:tc>
              <w:tc>
                <w:tcPr>
                  <w:tcW w:w="589" w:type="pct"/>
                  <w:vAlign w:val="center"/>
                </w:tcPr>
                <w:p>
                  <w:pPr>
                    <w:jc w:val="center"/>
                    <w:rPr>
                      <w:rFonts w:ascii="Times New Roman" w:hAnsi="Times New Roman"/>
                    </w:rPr>
                  </w:pPr>
                  <w:r>
                    <w:rPr>
                      <w:rFonts w:hint="eastAsia" w:ascii="Times New Roman" w:hAnsi="Times New Roman"/>
                    </w:rPr>
                    <w:t>1.23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hint="eastAsia" w:ascii="Times New Roman" w:hAnsi="Times New Roman"/>
                    </w:rPr>
                    <w:t>3000</w:t>
                  </w:r>
                </w:p>
              </w:tc>
              <w:tc>
                <w:tcPr>
                  <w:tcW w:w="1029" w:type="pct"/>
                  <w:vAlign w:val="center"/>
                </w:tcPr>
                <w:p>
                  <w:pPr>
                    <w:jc w:val="center"/>
                    <w:rPr>
                      <w:rFonts w:ascii="Times New Roman" w:hAnsi="Times New Roman"/>
                    </w:rPr>
                  </w:pPr>
                  <w:r>
                    <w:rPr>
                      <w:rFonts w:hint="eastAsia" w:ascii="Times New Roman" w:hAnsi="Times New Roman"/>
                    </w:rPr>
                    <w:t>2.79E-03</w:t>
                  </w:r>
                </w:p>
              </w:tc>
              <w:tc>
                <w:tcPr>
                  <w:tcW w:w="589" w:type="pct"/>
                  <w:vAlign w:val="center"/>
                </w:tcPr>
                <w:p>
                  <w:pPr>
                    <w:jc w:val="center"/>
                    <w:rPr>
                      <w:rFonts w:ascii="Times New Roman" w:hAnsi="Times New Roman"/>
                    </w:rPr>
                  </w:pPr>
                  <w:r>
                    <w:rPr>
                      <w:rFonts w:hint="eastAsia" w:ascii="Times New Roman" w:hAnsi="Times New Roman"/>
                    </w:rPr>
                    <w:t>0.14</w:t>
                  </w:r>
                </w:p>
              </w:tc>
              <w:tc>
                <w:tcPr>
                  <w:tcW w:w="882" w:type="pct"/>
                  <w:vAlign w:val="center"/>
                </w:tcPr>
                <w:p>
                  <w:pPr>
                    <w:jc w:val="center"/>
                    <w:rPr>
                      <w:rFonts w:ascii="Times New Roman" w:hAnsi="Times New Roman"/>
                    </w:rPr>
                  </w:pPr>
                  <w:r>
                    <w:rPr>
                      <w:rFonts w:hint="eastAsia" w:ascii="Times New Roman" w:hAnsi="Times New Roman"/>
                    </w:rPr>
                    <w:t>3000</w:t>
                  </w:r>
                </w:p>
              </w:tc>
              <w:tc>
                <w:tcPr>
                  <w:tcW w:w="1029" w:type="pct"/>
                  <w:vAlign w:val="center"/>
                </w:tcPr>
                <w:p>
                  <w:pPr>
                    <w:jc w:val="center"/>
                    <w:rPr>
                      <w:rFonts w:ascii="Times New Roman" w:hAnsi="Times New Roman"/>
                    </w:rPr>
                  </w:pPr>
                  <w:r>
                    <w:rPr>
                      <w:rFonts w:hint="eastAsia" w:ascii="Times New Roman" w:hAnsi="Times New Roman"/>
                    </w:rPr>
                    <w:t>2.42E-02</w:t>
                  </w:r>
                </w:p>
              </w:tc>
              <w:tc>
                <w:tcPr>
                  <w:tcW w:w="589" w:type="pct"/>
                  <w:vAlign w:val="center"/>
                </w:tcPr>
                <w:p>
                  <w:pPr>
                    <w:jc w:val="center"/>
                    <w:rPr>
                      <w:rFonts w:ascii="Times New Roman" w:hAnsi="Times New Roman"/>
                    </w:rPr>
                  </w:pPr>
                  <w:r>
                    <w:rPr>
                      <w:rFonts w:hint="eastAsia" w:ascii="Times New Roman" w:hAnsi="Times New Roman"/>
                    </w:rPr>
                    <w:t>1.21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ascii="Times New Roman" w:hAnsi="Times New Roman"/>
                    </w:rPr>
                    <w:t>下风向最大质量浓度及占标率/%</w:t>
                  </w:r>
                </w:p>
              </w:tc>
              <w:tc>
                <w:tcPr>
                  <w:tcW w:w="1029" w:type="pct"/>
                  <w:vAlign w:val="center"/>
                </w:tcPr>
                <w:p>
                  <w:pPr>
                    <w:jc w:val="center"/>
                    <w:rPr>
                      <w:rFonts w:ascii="Times New Roman" w:hAnsi="Times New Roman"/>
                    </w:rPr>
                  </w:pPr>
                  <w:r>
                    <w:rPr>
                      <w:rFonts w:hint="eastAsia" w:ascii="Times New Roman" w:hAnsi="Times New Roman"/>
                    </w:rPr>
                    <w:t>1.04E-01</w:t>
                  </w:r>
                </w:p>
              </w:tc>
              <w:tc>
                <w:tcPr>
                  <w:tcW w:w="589" w:type="pct"/>
                  <w:vAlign w:val="center"/>
                </w:tcPr>
                <w:p>
                  <w:pPr>
                    <w:jc w:val="center"/>
                    <w:rPr>
                      <w:rFonts w:ascii="Times New Roman" w:hAnsi="Times New Roman"/>
                    </w:rPr>
                  </w:pPr>
                  <w:r>
                    <w:rPr>
                      <w:rFonts w:hint="eastAsia" w:ascii="Times New Roman" w:hAnsi="Times New Roman"/>
                    </w:rPr>
                    <w:t>5.19</w:t>
                  </w:r>
                </w:p>
              </w:tc>
              <w:tc>
                <w:tcPr>
                  <w:tcW w:w="882" w:type="pct"/>
                  <w:vAlign w:val="center"/>
                </w:tcPr>
                <w:p>
                  <w:pPr>
                    <w:jc w:val="center"/>
                    <w:rPr>
                      <w:rFonts w:ascii="Times New Roman" w:hAnsi="Times New Roman"/>
                    </w:rPr>
                  </w:pPr>
                  <w:r>
                    <w:rPr>
                      <w:rFonts w:ascii="Times New Roman" w:hAnsi="Times New Roman"/>
                    </w:rPr>
                    <w:t>下风向最大质量浓度及占标率/%</w:t>
                  </w:r>
                </w:p>
              </w:tc>
              <w:tc>
                <w:tcPr>
                  <w:tcW w:w="1029" w:type="pct"/>
                  <w:vAlign w:val="center"/>
                </w:tcPr>
                <w:p>
                  <w:pPr>
                    <w:jc w:val="center"/>
                    <w:rPr>
                      <w:rFonts w:ascii="Times New Roman" w:hAnsi="Times New Roman"/>
                    </w:rPr>
                  </w:pPr>
                  <w:r>
                    <w:rPr>
                      <w:rFonts w:hint="eastAsia" w:ascii="Times New Roman" w:hAnsi="Times New Roman"/>
                    </w:rPr>
                    <w:t>9.00E-01</w:t>
                  </w:r>
                </w:p>
              </w:tc>
              <w:tc>
                <w:tcPr>
                  <w:tcW w:w="589" w:type="pct"/>
                  <w:vAlign w:val="center"/>
                </w:tcPr>
                <w:p>
                  <w:pPr>
                    <w:jc w:val="center"/>
                    <w:rPr>
                      <w:rFonts w:ascii="Times New Roman" w:hAnsi="Times New Roman"/>
                    </w:rPr>
                  </w:pPr>
                  <w:r>
                    <w:rPr>
                      <w:rFonts w:hint="eastAsia" w:ascii="Times New Roman" w:hAnsi="Times New Roman"/>
                    </w:rPr>
                    <w:t>45.02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2" w:type="pct"/>
                  <w:vAlign w:val="center"/>
                </w:tcPr>
                <w:p>
                  <w:pPr>
                    <w:jc w:val="center"/>
                    <w:rPr>
                      <w:rFonts w:ascii="Times New Roman" w:hAnsi="Times New Roman"/>
                    </w:rPr>
                  </w:pPr>
                  <w:r>
                    <w:rPr>
                      <w:rFonts w:ascii="Times New Roman" w:hAnsi="Times New Roman"/>
                    </w:rPr>
                    <w:t>D</w:t>
                  </w:r>
                  <w:r>
                    <w:rPr>
                      <w:rFonts w:ascii="Times New Roman" w:hAnsi="Times New Roman"/>
                      <w:vertAlign w:val="subscript"/>
                    </w:rPr>
                    <w:t>10%</w:t>
                  </w:r>
                  <w:r>
                    <w:rPr>
                      <w:rFonts w:ascii="Times New Roman" w:hAnsi="Times New Roman"/>
                    </w:rPr>
                    <w:t>最远距离/m</w:t>
                  </w:r>
                </w:p>
              </w:tc>
              <w:tc>
                <w:tcPr>
                  <w:tcW w:w="1618" w:type="pct"/>
                  <w:gridSpan w:val="2"/>
                  <w:vAlign w:val="center"/>
                </w:tcPr>
                <w:p>
                  <w:pPr>
                    <w:jc w:val="center"/>
                    <w:rPr>
                      <w:rFonts w:ascii="Times New Roman" w:hAnsi="Times New Roman"/>
                    </w:rPr>
                  </w:pPr>
                  <w:r>
                    <w:rPr>
                      <w:rFonts w:ascii="Times New Roman" w:hAnsi="Times New Roman"/>
                    </w:rPr>
                    <w:t>/</w:t>
                  </w:r>
                </w:p>
              </w:tc>
              <w:tc>
                <w:tcPr>
                  <w:tcW w:w="882" w:type="pct"/>
                  <w:vAlign w:val="center"/>
                </w:tcPr>
                <w:p>
                  <w:pPr>
                    <w:jc w:val="center"/>
                    <w:rPr>
                      <w:rFonts w:ascii="Times New Roman" w:hAnsi="Times New Roman"/>
                    </w:rPr>
                  </w:pPr>
                  <w:r>
                    <w:rPr>
                      <w:rFonts w:ascii="Times New Roman" w:hAnsi="Times New Roman"/>
                    </w:rPr>
                    <w:t>D</w:t>
                  </w:r>
                  <w:r>
                    <w:rPr>
                      <w:rFonts w:ascii="Times New Roman" w:hAnsi="Times New Roman"/>
                      <w:vertAlign w:val="subscript"/>
                    </w:rPr>
                    <w:t>10%</w:t>
                  </w:r>
                  <w:r>
                    <w:rPr>
                      <w:rFonts w:ascii="Times New Roman" w:hAnsi="Times New Roman"/>
                    </w:rPr>
                    <w:t>最远距离/m</w:t>
                  </w:r>
                </w:p>
              </w:tc>
              <w:tc>
                <w:tcPr>
                  <w:tcW w:w="1618" w:type="pct"/>
                  <w:gridSpan w:val="2"/>
                  <w:vAlign w:val="center"/>
                </w:tcPr>
                <w:p>
                  <w:pPr>
                    <w:jc w:val="center"/>
                    <w:rPr>
                      <w:rFonts w:ascii="Times New Roman" w:hAnsi="Times New Roman"/>
                    </w:rPr>
                  </w:pPr>
                  <w:r>
                    <w:rPr>
                      <w:rFonts w:hint="eastAsia" w:ascii="Times New Roman" w:hAnsi="Times New Roman"/>
                    </w:rPr>
                    <w:t>520</w:t>
                  </w:r>
                </w:p>
              </w:tc>
            </w:tr>
          </w:tbl>
          <w:p>
            <w:pPr>
              <w:spacing w:line="360" w:lineRule="auto"/>
              <w:ind w:firstLine="560" w:firstLineChars="200"/>
              <w:rPr>
                <w:rFonts w:ascii="Times New Roman" w:hAnsi="Times New Roman"/>
                <w:sz w:val="28"/>
                <w:szCs w:val="28"/>
              </w:rPr>
            </w:pPr>
            <w:r>
              <w:rPr>
                <w:rFonts w:ascii="Times New Roman" w:hAnsi="Times New Roman"/>
                <w:sz w:val="28"/>
                <w:szCs w:val="28"/>
              </w:rPr>
              <w:t>本项目贡献的质量浓度预测结果见下表。</w:t>
            </w:r>
          </w:p>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36</w:t>
            </w:r>
            <w:r>
              <w:rPr>
                <w:rFonts w:ascii="Times New Roman" w:hAnsi="Times New Roman"/>
                <w:b/>
                <w:sz w:val="24"/>
              </w:rPr>
              <w:t xml:space="preserve">     本项目贡献质量浓度预测结果表（正常工况）</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934"/>
              <w:gridCol w:w="1303"/>
              <w:gridCol w:w="1540"/>
              <w:gridCol w:w="1067"/>
              <w:gridCol w:w="129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88" w:type="pct"/>
                  <w:vAlign w:val="center"/>
                </w:tcPr>
                <w:p>
                  <w:pPr>
                    <w:spacing w:line="300" w:lineRule="auto"/>
                    <w:jc w:val="center"/>
                    <w:rPr>
                      <w:rFonts w:ascii="Times New Roman" w:hAnsi="Times New Roman"/>
                    </w:rPr>
                  </w:pPr>
                  <w:r>
                    <w:rPr>
                      <w:rFonts w:ascii="Times New Roman" w:hAnsi="Times New Roman"/>
                    </w:rPr>
                    <w:t>污染物</w:t>
                  </w:r>
                </w:p>
              </w:tc>
              <w:tc>
                <w:tcPr>
                  <w:tcW w:w="1060" w:type="pct"/>
                  <w:vAlign w:val="center"/>
                </w:tcPr>
                <w:p>
                  <w:pPr>
                    <w:spacing w:line="300" w:lineRule="auto"/>
                    <w:jc w:val="center"/>
                    <w:rPr>
                      <w:rFonts w:ascii="Times New Roman" w:hAnsi="Times New Roman"/>
                    </w:rPr>
                  </w:pPr>
                  <w:r>
                    <w:rPr>
                      <w:rFonts w:ascii="Times New Roman" w:hAnsi="Times New Roman"/>
                    </w:rPr>
                    <w:t>预测点</w:t>
                  </w:r>
                </w:p>
              </w:tc>
              <w:tc>
                <w:tcPr>
                  <w:tcW w:w="714" w:type="pct"/>
                  <w:vAlign w:val="center"/>
                </w:tcPr>
                <w:p>
                  <w:pPr>
                    <w:spacing w:line="300" w:lineRule="auto"/>
                    <w:jc w:val="center"/>
                    <w:rPr>
                      <w:rFonts w:ascii="Times New Roman" w:hAnsi="Times New Roman"/>
                    </w:rPr>
                  </w:pPr>
                  <w:r>
                    <w:rPr>
                      <w:rFonts w:ascii="Times New Roman" w:hAnsi="Times New Roman"/>
                    </w:rPr>
                    <w:t>平均时段</w:t>
                  </w:r>
                </w:p>
              </w:tc>
              <w:tc>
                <w:tcPr>
                  <w:tcW w:w="844" w:type="pct"/>
                  <w:vAlign w:val="center"/>
                </w:tcPr>
                <w:p>
                  <w:pPr>
                    <w:spacing w:line="300" w:lineRule="auto"/>
                    <w:jc w:val="center"/>
                    <w:rPr>
                      <w:rFonts w:ascii="Times New Roman" w:hAnsi="Times New Roman"/>
                    </w:rPr>
                  </w:pPr>
                  <w:r>
                    <w:rPr>
                      <w:rFonts w:ascii="Times New Roman" w:hAnsi="Times New Roman"/>
                    </w:rPr>
                    <w:t>最大贡献值/</w:t>
                  </w:r>
                </w:p>
                <w:p>
                  <w:pPr>
                    <w:spacing w:line="300" w:lineRule="auto"/>
                    <w:jc w:val="center"/>
                    <w:rPr>
                      <w:rFonts w:ascii="Times New Roman" w:hAnsi="Times New Roman"/>
                    </w:rPr>
                  </w:pPr>
                  <w:r>
                    <w:rPr>
                      <w:rFonts w:ascii="Times New Roman" w:hAnsi="Times New Roman"/>
                    </w:rPr>
                    <w:t>（mg/m</w:t>
                  </w:r>
                  <w:r>
                    <w:rPr>
                      <w:rFonts w:ascii="Times New Roman" w:hAnsi="Times New Roman"/>
                      <w:vertAlign w:val="superscript"/>
                    </w:rPr>
                    <w:t>3</w:t>
                  </w:r>
                  <w:r>
                    <w:rPr>
                      <w:rFonts w:ascii="Times New Roman" w:hAnsi="Times New Roman"/>
                    </w:rPr>
                    <w:t>）</w:t>
                  </w:r>
                </w:p>
              </w:tc>
              <w:tc>
                <w:tcPr>
                  <w:tcW w:w="585" w:type="pct"/>
                  <w:vAlign w:val="center"/>
                </w:tcPr>
                <w:p>
                  <w:pPr>
                    <w:spacing w:line="300" w:lineRule="auto"/>
                    <w:jc w:val="center"/>
                    <w:rPr>
                      <w:rFonts w:ascii="Times New Roman" w:hAnsi="Times New Roman"/>
                    </w:rPr>
                  </w:pPr>
                  <w:r>
                    <w:rPr>
                      <w:rFonts w:ascii="Times New Roman" w:hAnsi="Times New Roman"/>
                    </w:rPr>
                    <w:t>占标率/%</w:t>
                  </w:r>
                </w:p>
              </w:tc>
              <w:tc>
                <w:tcPr>
                  <w:tcW w:w="709" w:type="pct"/>
                  <w:vAlign w:val="center"/>
                </w:tcPr>
                <w:p>
                  <w:pPr>
                    <w:spacing w:line="300" w:lineRule="auto"/>
                    <w:jc w:val="center"/>
                    <w:rPr>
                      <w:rFonts w:ascii="Times New Roman" w:hAnsi="Times New Roman"/>
                    </w:rPr>
                  </w:pPr>
                  <w:r>
                    <w:rPr>
                      <w:rFonts w:ascii="Times New Roman" w:hAnsi="Times New Roman"/>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088" w:type="pct"/>
                  <w:vAlign w:val="center"/>
                </w:tcPr>
                <w:p>
                  <w:pPr>
                    <w:spacing w:line="300" w:lineRule="auto"/>
                    <w:jc w:val="center"/>
                    <w:rPr>
                      <w:rFonts w:ascii="Times New Roman" w:hAnsi="Times New Roman"/>
                    </w:rPr>
                  </w:pPr>
                  <w:r>
                    <w:rPr>
                      <w:rFonts w:ascii="Times New Roman" w:hAnsi="Times New Roman"/>
                    </w:rPr>
                    <w:t>非甲烷总烃</w:t>
                  </w:r>
                </w:p>
              </w:tc>
              <w:tc>
                <w:tcPr>
                  <w:tcW w:w="1060" w:type="pct"/>
                  <w:vAlign w:val="center"/>
                </w:tcPr>
                <w:p>
                  <w:pPr>
                    <w:spacing w:line="300" w:lineRule="auto"/>
                    <w:jc w:val="center"/>
                    <w:rPr>
                      <w:rFonts w:ascii="Times New Roman" w:hAnsi="Times New Roman"/>
                    </w:rPr>
                  </w:pPr>
                  <w:r>
                    <w:rPr>
                      <w:rFonts w:ascii="Times New Roman" w:hAnsi="Times New Roman"/>
                    </w:rPr>
                    <w:t>区域最大落地浓度</w:t>
                  </w:r>
                </w:p>
              </w:tc>
              <w:tc>
                <w:tcPr>
                  <w:tcW w:w="714" w:type="pct"/>
                  <w:vAlign w:val="center"/>
                </w:tcPr>
                <w:p>
                  <w:pPr>
                    <w:spacing w:line="300" w:lineRule="auto"/>
                    <w:jc w:val="center"/>
                    <w:rPr>
                      <w:rFonts w:ascii="Times New Roman" w:hAnsi="Times New Roman"/>
                    </w:rPr>
                  </w:pPr>
                  <w:r>
                    <w:rPr>
                      <w:rFonts w:ascii="Times New Roman" w:hAnsi="Times New Roman"/>
                    </w:rPr>
                    <w:t>1小时平均</w:t>
                  </w:r>
                </w:p>
              </w:tc>
              <w:tc>
                <w:tcPr>
                  <w:tcW w:w="844" w:type="pct"/>
                  <w:vAlign w:val="center"/>
                </w:tcPr>
                <w:p>
                  <w:pPr>
                    <w:jc w:val="center"/>
                    <w:rPr>
                      <w:rFonts w:ascii="Times New Roman" w:hAnsi="Times New Roman"/>
                    </w:rPr>
                  </w:pPr>
                  <w:r>
                    <w:rPr>
                      <w:rFonts w:hint="eastAsia" w:ascii="Times New Roman" w:hAnsi="Times New Roman"/>
                    </w:rPr>
                    <w:t>1.04E-01</w:t>
                  </w:r>
                </w:p>
              </w:tc>
              <w:tc>
                <w:tcPr>
                  <w:tcW w:w="585" w:type="pct"/>
                  <w:vAlign w:val="center"/>
                </w:tcPr>
                <w:p>
                  <w:pPr>
                    <w:jc w:val="center"/>
                    <w:rPr>
                      <w:rFonts w:ascii="Times New Roman" w:hAnsi="Times New Roman"/>
                    </w:rPr>
                  </w:pPr>
                  <w:r>
                    <w:rPr>
                      <w:rFonts w:hint="eastAsia" w:ascii="Times New Roman" w:hAnsi="Times New Roman"/>
                    </w:rPr>
                    <w:t>5.19</w:t>
                  </w:r>
                </w:p>
              </w:tc>
              <w:tc>
                <w:tcPr>
                  <w:tcW w:w="709" w:type="pct"/>
                  <w:vAlign w:val="center"/>
                </w:tcPr>
                <w:p>
                  <w:pPr>
                    <w:spacing w:line="300" w:lineRule="auto"/>
                    <w:jc w:val="center"/>
                    <w:rPr>
                      <w:rFonts w:ascii="Times New Roman" w:hAnsi="Times New Roman"/>
                    </w:rPr>
                  </w:pPr>
                  <w:r>
                    <w:rPr>
                      <w:rFonts w:ascii="Times New Roman" w:hAnsi="Times New Roman"/>
                    </w:rPr>
                    <w:t>达标</w:t>
                  </w:r>
                </w:p>
              </w:tc>
            </w:tr>
          </w:tbl>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37</w:t>
            </w:r>
            <w:r>
              <w:rPr>
                <w:rFonts w:ascii="Times New Roman" w:hAnsi="Times New Roman"/>
                <w:b/>
                <w:sz w:val="24"/>
              </w:rPr>
              <w:t xml:space="preserve">    本项目贡献质量浓度预测结果表（非正常工况）</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1509"/>
              <w:gridCol w:w="1303"/>
              <w:gridCol w:w="1540"/>
              <w:gridCol w:w="1067"/>
              <w:gridCol w:w="129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21" w:type="pct"/>
                  <w:vAlign w:val="center"/>
                </w:tcPr>
                <w:p>
                  <w:pPr>
                    <w:spacing w:line="300" w:lineRule="auto"/>
                    <w:jc w:val="center"/>
                    <w:rPr>
                      <w:rFonts w:ascii="Times New Roman" w:hAnsi="Times New Roman"/>
                    </w:rPr>
                  </w:pPr>
                  <w:r>
                    <w:rPr>
                      <w:rFonts w:ascii="Times New Roman" w:hAnsi="Times New Roman"/>
                    </w:rPr>
                    <w:t>污染物</w:t>
                  </w:r>
                </w:p>
              </w:tc>
              <w:tc>
                <w:tcPr>
                  <w:tcW w:w="827" w:type="pct"/>
                  <w:vAlign w:val="center"/>
                </w:tcPr>
                <w:p>
                  <w:pPr>
                    <w:spacing w:line="300" w:lineRule="auto"/>
                    <w:jc w:val="center"/>
                    <w:rPr>
                      <w:rFonts w:ascii="Times New Roman" w:hAnsi="Times New Roman"/>
                    </w:rPr>
                  </w:pPr>
                  <w:r>
                    <w:rPr>
                      <w:rFonts w:ascii="Times New Roman" w:hAnsi="Times New Roman"/>
                    </w:rPr>
                    <w:t>预测点</w:t>
                  </w:r>
                </w:p>
              </w:tc>
              <w:tc>
                <w:tcPr>
                  <w:tcW w:w="714" w:type="pct"/>
                  <w:vAlign w:val="center"/>
                </w:tcPr>
                <w:p>
                  <w:pPr>
                    <w:spacing w:line="300" w:lineRule="auto"/>
                    <w:jc w:val="center"/>
                    <w:rPr>
                      <w:rFonts w:ascii="Times New Roman" w:hAnsi="Times New Roman"/>
                    </w:rPr>
                  </w:pPr>
                  <w:r>
                    <w:rPr>
                      <w:rFonts w:ascii="Times New Roman" w:hAnsi="Times New Roman"/>
                    </w:rPr>
                    <w:t>平均时段</w:t>
                  </w:r>
                </w:p>
              </w:tc>
              <w:tc>
                <w:tcPr>
                  <w:tcW w:w="844" w:type="pct"/>
                  <w:vAlign w:val="center"/>
                </w:tcPr>
                <w:p>
                  <w:pPr>
                    <w:spacing w:line="300" w:lineRule="auto"/>
                    <w:jc w:val="center"/>
                    <w:rPr>
                      <w:rFonts w:ascii="Times New Roman" w:hAnsi="Times New Roman"/>
                    </w:rPr>
                  </w:pPr>
                  <w:r>
                    <w:rPr>
                      <w:rFonts w:ascii="Times New Roman" w:hAnsi="Times New Roman"/>
                    </w:rPr>
                    <w:t>最大贡献值/</w:t>
                  </w:r>
                </w:p>
                <w:p>
                  <w:pPr>
                    <w:spacing w:line="300" w:lineRule="auto"/>
                    <w:jc w:val="center"/>
                    <w:rPr>
                      <w:rFonts w:ascii="Times New Roman" w:hAnsi="Times New Roman"/>
                    </w:rPr>
                  </w:pPr>
                  <w:r>
                    <w:rPr>
                      <w:rFonts w:ascii="Times New Roman" w:hAnsi="Times New Roman"/>
                    </w:rPr>
                    <w:t>（mg/m</w:t>
                  </w:r>
                  <w:r>
                    <w:rPr>
                      <w:rFonts w:ascii="Times New Roman" w:hAnsi="Times New Roman"/>
                      <w:vertAlign w:val="superscript"/>
                    </w:rPr>
                    <w:t>3</w:t>
                  </w:r>
                  <w:r>
                    <w:rPr>
                      <w:rFonts w:ascii="Times New Roman" w:hAnsi="Times New Roman"/>
                    </w:rPr>
                    <w:t>）</w:t>
                  </w:r>
                </w:p>
              </w:tc>
              <w:tc>
                <w:tcPr>
                  <w:tcW w:w="585" w:type="pct"/>
                  <w:vAlign w:val="center"/>
                </w:tcPr>
                <w:p>
                  <w:pPr>
                    <w:spacing w:line="300" w:lineRule="auto"/>
                    <w:jc w:val="center"/>
                    <w:rPr>
                      <w:rFonts w:ascii="Times New Roman" w:hAnsi="Times New Roman"/>
                    </w:rPr>
                  </w:pPr>
                  <w:r>
                    <w:rPr>
                      <w:rFonts w:ascii="Times New Roman" w:hAnsi="Times New Roman"/>
                    </w:rPr>
                    <w:t>占标率/%</w:t>
                  </w:r>
                </w:p>
              </w:tc>
              <w:tc>
                <w:tcPr>
                  <w:tcW w:w="709" w:type="pct"/>
                  <w:vAlign w:val="center"/>
                </w:tcPr>
                <w:p>
                  <w:pPr>
                    <w:spacing w:line="300" w:lineRule="auto"/>
                    <w:jc w:val="center"/>
                    <w:rPr>
                      <w:rFonts w:ascii="Times New Roman" w:hAnsi="Times New Roman"/>
                    </w:rPr>
                  </w:pPr>
                  <w:r>
                    <w:rPr>
                      <w:rFonts w:ascii="Times New Roman" w:hAnsi="Times New Roman"/>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21" w:type="pct"/>
                  <w:vAlign w:val="center"/>
                </w:tcPr>
                <w:p>
                  <w:pPr>
                    <w:spacing w:line="300" w:lineRule="auto"/>
                    <w:jc w:val="center"/>
                    <w:rPr>
                      <w:rFonts w:ascii="Times New Roman" w:hAnsi="Times New Roman"/>
                    </w:rPr>
                  </w:pPr>
                  <w:r>
                    <w:rPr>
                      <w:rFonts w:ascii="Times New Roman" w:hAnsi="Times New Roman"/>
                    </w:rPr>
                    <w:t>非甲烷总烃</w:t>
                  </w:r>
                </w:p>
              </w:tc>
              <w:tc>
                <w:tcPr>
                  <w:tcW w:w="827" w:type="pct"/>
                  <w:vAlign w:val="center"/>
                </w:tcPr>
                <w:p>
                  <w:pPr>
                    <w:spacing w:line="300" w:lineRule="auto"/>
                    <w:jc w:val="center"/>
                    <w:rPr>
                      <w:rFonts w:ascii="Times New Roman" w:hAnsi="Times New Roman"/>
                    </w:rPr>
                  </w:pPr>
                  <w:r>
                    <w:rPr>
                      <w:rFonts w:ascii="Times New Roman" w:hAnsi="Times New Roman"/>
                    </w:rPr>
                    <w:t>区域最大落地浓度</w:t>
                  </w:r>
                </w:p>
              </w:tc>
              <w:tc>
                <w:tcPr>
                  <w:tcW w:w="714" w:type="pct"/>
                  <w:vAlign w:val="center"/>
                </w:tcPr>
                <w:p>
                  <w:pPr>
                    <w:spacing w:line="300" w:lineRule="auto"/>
                    <w:jc w:val="center"/>
                    <w:rPr>
                      <w:rFonts w:ascii="Times New Roman" w:hAnsi="Times New Roman"/>
                    </w:rPr>
                  </w:pPr>
                  <w:r>
                    <w:rPr>
                      <w:rFonts w:ascii="Times New Roman" w:hAnsi="Times New Roman"/>
                    </w:rPr>
                    <w:t>1小时平均</w:t>
                  </w:r>
                </w:p>
              </w:tc>
              <w:tc>
                <w:tcPr>
                  <w:tcW w:w="844" w:type="pct"/>
                  <w:vAlign w:val="center"/>
                </w:tcPr>
                <w:p>
                  <w:pPr>
                    <w:jc w:val="center"/>
                    <w:rPr>
                      <w:rFonts w:ascii="Times New Roman" w:hAnsi="Times New Roman"/>
                    </w:rPr>
                  </w:pPr>
                  <w:r>
                    <w:rPr>
                      <w:rFonts w:hint="eastAsia" w:ascii="Times New Roman" w:hAnsi="Times New Roman"/>
                    </w:rPr>
                    <w:t>9.00E-01</w:t>
                  </w:r>
                </w:p>
              </w:tc>
              <w:tc>
                <w:tcPr>
                  <w:tcW w:w="585" w:type="pct"/>
                  <w:vAlign w:val="center"/>
                </w:tcPr>
                <w:p>
                  <w:pPr>
                    <w:jc w:val="center"/>
                    <w:rPr>
                      <w:rFonts w:ascii="Times New Roman" w:hAnsi="Times New Roman"/>
                    </w:rPr>
                  </w:pPr>
                  <w:r>
                    <w:rPr>
                      <w:rFonts w:hint="eastAsia" w:ascii="Times New Roman" w:hAnsi="Times New Roman"/>
                    </w:rPr>
                    <w:t>45.02</w:t>
                  </w:r>
                </w:p>
              </w:tc>
              <w:tc>
                <w:tcPr>
                  <w:tcW w:w="709" w:type="pct"/>
                  <w:vAlign w:val="center"/>
                </w:tcPr>
                <w:p>
                  <w:pPr>
                    <w:spacing w:line="300" w:lineRule="auto"/>
                    <w:jc w:val="center"/>
                    <w:rPr>
                      <w:rFonts w:ascii="Times New Roman" w:hAnsi="Times New Roman"/>
                    </w:rPr>
                  </w:pPr>
                  <w:r>
                    <w:rPr>
                      <w:rFonts w:ascii="Times New Roman" w:hAnsi="Times New Roman"/>
                    </w:rPr>
                    <w:t>达标</w:t>
                  </w:r>
                </w:p>
              </w:tc>
            </w:tr>
          </w:tbl>
          <w:p>
            <w:pPr>
              <w:spacing w:line="360" w:lineRule="auto"/>
              <w:ind w:firstLine="560" w:firstLineChars="200"/>
              <w:rPr>
                <w:rFonts w:ascii="宋体" w:hAnsi="宋体" w:cs="宋体"/>
                <w:sz w:val="28"/>
                <w:szCs w:val="28"/>
              </w:rPr>
            </w:pPr>
            <w:r>
              <w:rPr>
                <w:rFonts w:hint="eastAsia" w:ascii="宋体" w:hAnsi="宋体" w:cs="宋体"/>
                <w:sz w:val="28"/>
                <w:szCs w:val="28"/>
              </w:rPr>
              <w:t>② 环境空气评价等级</w:t>
            </w:r>
          </w:p>
          <w:p>
            <w:pPr>
              <w:snapToGrid w:val="0"/>
              <w:spacing w:line="360" w:lineRule="auto"/>
              <w:ind w:firstLine="560" w:firstLineChars="200"/>
              <w:rPr>
                <w:rFonts w:ascii="Times New Roman" w:hAnsi="Times New Roman"/>
                <w:sz w:val="28"/>
                <w:szCs w:val="28"/>
              </w:rPr>
            </w:pPr>
            <w:r>
              <w:rPr>
                <w:rFonts w:ascii="Times New Roman" w:hAnsi="Times New Roman"/>
                <w:sz w:val="28"/>
                <w:szCs w:val="28"/>
              </w:rPr>
              <w:t>根据项目污染源初步调查结果，分别计算项目排放主要污染物的最大地面空气质量浓度占标率 Pi（第i个污染物，简称“最大浓度占标率”），及第i个污染物的地面空气质量浓度达到标准值的10%时所对应的最远距离D10%。其中Pi定义见公式。</w:t>
            </w:r>
          </w:p>
          <w:p>
            <w:pPr>
              <w:snapToGrid w:val="0"/>
              <w:spacing w:line="360" w:lineRule="auto"/>
              <w:ind w:firstLine="560" w:firstLineChars="200"/>
              <w:jc w:val="center"/>
              <w:rPr>
                <w:rFonts w:ascii="Times New Roman" w:hAnsi="Times New Roman"/>
                <w:sz w:val="28"/>
                <w:szCs w:val="28"/>
              </w:rPr>
            </w:pPr>
            <w:r>
              <w:rPr>
                <w:rFonts w:ascii="Times New Roman" w:hAnsi="Times New Roman"/>
                <w:sz w:val="28"/>
                <w:szCs w:val="28"/>
              </w:rPr>
              <w:drawing>
                <wp:inline distT="0" distB="0" distL="0" distR="0">
                  <wp:extent cx="1219200" cy="465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1218613" cy="465584"/>
                          </a:xfrm>
                          <a:prstGeom prst="rect">
                            <a:avLst/>
                          </a:prstGeom>
                        </pic:spPr>
                      </pic:pic>
                    </a:graphicData>
                  </a:graphic>
                </wp:inline>
              </w:drawing>
            </w:r>
            <w:r>
              <w:rPr>
                <w:rFonts w:ascii="Times New Roman" w:hAnsi="Times New Roman"/>
                <w:sz w:val="28"/>
                <w:szCs w:val="28"/>
              </w:rPr>
              <w:t xml:space="preserve">           </w:t>
            </w:r>
          </w:p>
          <w:p>
            <w:pPr>
              <w:spacing w:line="360" w:lineRule="auto"/>
              <w:ind w:firstLine="480" w:firstLineChars="200"/>
              <w:rPr>
                <w:rFonts w:ascii="Times New Roman" w:hAnsi="Times New Roman"/>
                <w:sz w:val="24"/>
                <w:szCs w:val="24"/>
              </w:rPr>
            </w:pPr>
            <w:r>
              <w:rPr>
                <w:rFonts w:ascii="Times New Roman" w:hAnsi="Times New Roman"/>
                <w:b/>
                <w:sz w:val="24"/>
                <w:szCs w:val="24"/>
              </w:rPr>
              <w:t>式中：</w:t>
            </w:r>
            <w:r>
              <w:rPr>
                <w:rFonts w:ascii="Times New Roman" w:hAnsi="Times New Roman"/>
                <w:sz w:val="24"/>
                <w:szCs w:val="24"/>
              </w:rPr>
              <w:t>P</w:t>
            </w:r>
            <w:r>
              <w:rPr>
                <w:rFonts w:ascii="Times New Roman" w:hAnsi="Times New Roman"/>
                <w:sz w:val="24"/>
                <w:szCs w:val="24"/>
                <w:vertAlign w:val="subscript"/>
              </w:rPr>
              <w:t>i</w:t>
            </w:r>
            <w:r>
              <w:rPr>
                <w:rFonts w:ascii="Times New Roman" w:hAnsi="Times New Roman"/>
                <w:sz w:val="24"/>
                <w:szCs w:val="24"/>
              </w:rPr>
              <w:t>——第i个污染物的最大地面空气质量浓度占标率，%；</w:t>
            </w:r>
          </w:p>
          <w:p>
            <w:pPr>
              <w:spacing w:line="360" w:lineRule="auto"/>
              <w:ind w:left="2220" w:leftChars="600" w:hanging="960" w:hangingChars="400"/>
              <w:rPr>
                <w:rFonts w:ascii="Times New Roman" w:hAnsi="Times New Roman"/>
                <w:sz w:val="24"/>
                <w:szCs w:val="24"/>
              </w:rPr>
            </w:pPr>
            <w:r>
              <w:rPr>
                <w:rFonts w:ascii="Times New Roman" w:hAnsi="Times New Roman"/>
                <w:sz w:val="24"/>
                <w:szCs w:val="24"/>
              </w:rPr>
              <w:t>C</w:t>
            </w:r>
            <w:r>
              <w:rPr>
                <w:rFonts w:ascii="Times New Roman" w:hAnsi="Times New Roman"/>
                <w:sz w:val="24"/>
                <w:szCs w:val="24"/>
                <w:vertAlign w:val="subscript"/>
              </w:rPr>
              <w:t>i</w:t>
            </w:r>
            <w:r>
              <w:rPr>
                <w:rFonts w:ascii="Times New Roman" w:hAnsi="Times New Roman"/>
                <w:sz w:val="24"/>
                <w:szCs w:val="24"/>
              </w:rPr>
              <w:t>——采用估算模型计算出的第i个污染物的最大1h地面气质量浓</w:t>
            </w:r>
          </w:p>
          <w:p>
            <w:pPr>
              <w:spacing w:line="360" w:lineRule="auto"/>
              <w:ind w:left="2130" w:leftChars="900" w:hanging="240" w:hangingChars="100"/>
              <w:rPr>
                <w:rFonts w:ascii="Times New Roman" w:hAnsi="Times New Roman"/>
                <w:sz w:val="24"/>
                <w:szCs w:val="24"/>
              </w:rPr>
            </w:pPr>
            <w:r>
              <w:rPr>
                <w:rFonts w:ascii="Times New Roman" w:hAnsi="Times New Roman"/>
                <w:sz w:val="24"/>
                <w:szCs w:val="24"/>
              </w:rPr>
              <w:t>度，μg/m</w:t>
            </w:r>
            <w:r>
              <w:rPr>
                <w:rFonts w:ascii="Times New Roman" w:hAnsi="Times New Roman"/>
                <w:sz w:val="24"/>
                <w:szCs w:val="24"/>
                <w:vertAlign w:val="superscript"/>
              </w:rPr>
              <w:t>3</w:t>
            </w:r>
            <w:r>
              <w:rPr>
                <w:rFonts w:ascii="Times New Roman" w:hAnsi="Times New Roman"/>
                <w:sz w:val="24"/>
                <w:szCs w:val="24"/>
              </w:rPr>
              <w:t>；</w:t>
            </w:r>
          </w:p>
          <w:p>
            <w:pPr>
              <w:spacing w:line="360" w:lineRule="auto"/>
              <w:ind w:left="2220" w:leftChars="600" w:hanging="960" w:hangingChars="400"/>
              <w:rPr>
                <w:rFonts w:ascii="Times New Roman" w:hAnsi="Times New Roman"/>
                <w:sz w:val="24"/>
                <w:szCs w:val="24"/>
              </w:rPr>
            </w:pPr>
            <w:r>
              <w:rPr>
                <w:rFonts w:ascii="Times New Roman" w:hAnsi="Times New Roman"/>
                <w:sz w:val="24"/>
                <w:szCs w:val="24"/>
              </w:rPr>
              <w:t>C</w:t>
            </w:r>
            <w:r>
              <w:rPr>
                <w:rFonts w:ascii="Times New Roman" w:hAnsi="Times New Roman"/>
                <w:sz w:val="24"/>
                <w:szCs w:val="24"/>
                <w:vertAlign w:val="subscript"/>
              </w:rPr>
              <w:t>0i</w:t>
            </w:r>
            <w:r>
              <w:rPr>
                <w:rFonts w:ascii="Times New Roman" w:hAnsi="Times New Roman"/>
                <w:sz w:val="24"/>
                <w:szCs w:val="24"/>
              </w:rPr>
              <w:t>——第i个污染物的环境空气质量浓度标准，μg/m</w:t>
            </w:r>
            <w:r>
              <w:rPr>
                <w:rFonts w:ascii="Times New Roman" w:hAnsi="Times New Roman"/>
                <w:sz w:val="24"/>
                <w:szCs w:val="24"/>
                <w:vertAlign w:val="superscript"/>
              </w:rPr>
              <w:t>3</w:t>
            </w:r>
            <w:r>
              <w:rPr>
                <w:rFonts w:ascii="Times New Roman" w:hAnsi="Times New Roman"/>
                <w:sz w:val="24"/>
                <w:szCs w:val="24"/>
              </w:rPr>
              <w:t>。一般选用</w:t>
            </w:r>
          </w:p>
          <w:p>
            <w:pPr>
              <w:spacing w:line="360" w:lineRule="auto"/>
              <w:ind w:left="2130" w:leftChars="900" w:hanging="240" w:hangingChars="100"/>
              <w:rPr>
                <w:rFonts w:ascii="Times New Roman" w:hAnsi="Times New Roman"/>
                <w:sz w:val="24"/>
                <w:szCs w:val="24"/>
              </w:rPr>
            </w:pPr>
            <w:r>
              <w:rPr>
                <w:rFonts w:ascii="Times New Roman" w:hAnsi="Times New Roman"/>
                <w:sz w:val="24"/>
                <w:szCs w:val="24"/>
              </w:rPr>
              <w:t>GB3095中1h平均质量浓度的二级浓度限值，如项目位于一类</w:t>
            </w:r>
          </w:p>
          <w:p>
            <w:pPr>
              <w:spacing w:line="360" w:lineRule="auto"/>
              <w:ind w:left="2130" w:leftChars="900" w:hanging="240" w:hangingChars="100"/>
              <w:rPr>
                <w:rFonts w:ascii="Times New Roman" w:hAnsi="Times New Roman"/>
                <w:sz w:val="24"/>
                <w:szCs w:val="24"/>
              </w:rPr>
            </w:pPr>
            <w:r>
              <w:rPr>
                <w:rFonts w:ascii="Times New Roman" w:hAnsi="Times New Roman"/>
                <w:sz w:val="24"/>
                <w:szCs w:val="24"/>
              </w:rPr>
              <w:t>环境空气功能区，应选择相应的一级浓度限值；对该标准中未</w:t>
            </w:r>
          </w:p>
          <w:p>
            <w:pPr>
              <w:spacing w:line="360" w:lineRule="auto"/>
              <w:ind w:left="2130" w:leftChars="900" w:hanging="240" w:hangingChars="100"/>
              <w:rPr>
                <w:rFonts w:ascii="Times New Roman" w:hAnsi="Times New Roman"/>
                <w:sz w:val="24"/>
                <w:szCs w:val="24"/>
              </w:rPr>
            </w:pPr>
            <w:r>
              <w:rPr>
                <w:rFonts w:ascii="Times New Roman" w:hAnsi="Times New Roman"/>
                <w:sz w:val="24"/>
                <w:szCs w:val="24"/>
              </w:rPr>
              <w:t>包含的污染物，使用导则5.2确定的各评价因子1h平均质量</w:t>
            </w:r>
          </w:p>
          <w:p>
            <w:pPr>
              <w:spacing w:line="360" w:lineRule="auto"/>
              <w:ind w:left="2130" w:leftChars="900" w:hanging="240" w:hangingChars="100"/>
              <w:rPr>
                <w:rFonts w:ascii="Times New Roman" w:hAnsi="Times New Roman"/>
                <w:sz w:val="24"/>
                <w:szCs w:val="24"/>
              </w:rPr>
            </w:pPr>
            <w:r>
              <w:rPr>
                <w:rFonts w:ascii="Times New Roman" w:hAnsi="Times New Roman"/>
                <w:sz w:val="24"/>
                <w:szCs w:val="24"/>
              </w:rPr>
              <w:t>浓度限值。对仅有8h平均质量浓度限值、日平均质量浓度限</w:t>
            </w:r>
          </w:p>
          <w:p>
            <w:pPr>
              <w:spacing w:line="360" w:lineRule="auto"/>
              <w:ind w:left="2130" w:leftChars="900" w:hanging="240" w:hangingChars="100"/>
              <w:rPr>
                <w:rFonts w:ascii="Times New Roman" w:hAnsi="Times New Roman"/>
                <w:sz w:val="24"/>
                <w:szCs w:val="24"/>
              </w:rPr>
            </w:pPr>
            <w:r>
              <w:rPr>
                <w:rFonts w:ascii="Times New Roman" w:hAnsi="Times New Roman"/>
                <w:sz w:val="24"/>
                <w:szCs w:val="24"/>
              </w:rPr>
              <w:t>值或年平均质量浓度限值的，可分别按2倍、3倍、6倍折算</w:t>
            </w:r>
          </w:p>
          <w:p>
            <w:pPr>
              <w:spacing w:line="360" w:lineRule="auto"/>
              <w:ind w:left="2130" w:leftChars="900" w:hanging="240" w:hangingChars="100"/>
              <w:rPr>
                <w:rFonts w:ascii="Times New Roman" w:hAnsi="Times New Roman"/>
                <w:sz w:val="24"/>
                <w:szCs w:val="24"/>
              </w:rPr>
            </w:pPr>
            <w:r>
              <w:rPr>
                <w:rFonts w:ascii="Times New Roman" w:hAnsi="Times New Roman"/>
                <w:sz w:val="24"/>
                <w:szCs w:val="24"/>
              </w:rPr>
              <w:t>为1h平均质量浓度限值。</w:t>
            </w:r>
          </w:p>
          <w:p>
            <w:pPr>
              <w:snapToGrid w:val="0"/>
              <w:spacing w:line="360" w:lineRule="auto"/>
              <w:ind w:firstLine="560" w:firstLineChars="200"/>
              <w:rPr>
                <w:rFonts w:ascii="Times New Roman" w:hAnsi="Times New Roman"/>
                <w:sz w:val="28"/>
                <w:szCs w:val="28"/>
              </w:rPr>
            </w:pPr>
          </w:p>
          <w:p>
            <w:pPr>
              <w:snapToGrid w:val="0"/>
              <w:spacing w:line="360" w:lineRule="auto"/>
              <w:ind w:firstLine="560" w:firstLineChars="200"/>
              <w:rPr>
                <w:rFonts w:ascii="Times New Roman" w:hAnsi="Times New Roman"/>
                <w:sz w:val="28"/>
                <w:szCs w:val="28"/>
              </w:rPr>
            </w:pPr>
            <w:r>
              <w:rPr>
                <w:rFonts w:ascii="Times New Roman" w:hAnsi="Times New Roman"/>
                <w:sz w:val="28"/>
                <w:szCs w:val="28"/>
              </w:rPr>
              <w:t>评价等级按下表的分级判据进行划分。最大地面空气质量浓度占标率P</w:t>
            </w:r>
            <w:r>
              <w:rPr>
                <w:rFonts w:ascii="Times New Roman" w:hAnsi="Times New Roman"/>
                <w:sz w:val="28"/>
                <w:szCs w:val="28"/>
                <w:vertAlign w:val="subscript"/>
              </w:rPr>
              <w:t>i</w:t>
            </w:r>
            <w:r>
              <w:rPr>
                <w:rFonts w:ascii="Times New Roman" w:hAnsi="Times New Roman"/>
                <w:sz w:val="28"/>
                <w:szCs w:val="28"/>
              </w:rPr>
              <w:t>按公式计算，如污染物数i大于1，取P值中最大者P</w:t>
            </w:r>
            <w:r>
              <w:rPr>
                <w:rFonts w:ascii="Times New Roman" w:hAnsi="Times New Roman"/>
                <w:sz w:val="28"/>
                <w:szCs w:val="28"/>
                <w:vertAlign w:val="subscript"/>
              </w:rPr>
              <w:t>max</w:t>
            </w:r>
            <w:r>
              <w:rPr>
                <w:rFonts w:ascii="Times New Roman" w:hAnsi="Times New Roman"/>
                <w:sz w:val="28"/>
                <w:szCs w:val="28"/>
              </w:rPr>
              <w:t>。</w:t>
            </w:r>
          </w:p>
          <w:p>
            <w:pPr>
              <w:spacing w:line="360" w:lineRule="auto"/>
              <w:jc w:val="center"/>
              <w:rPr>
                <w:rFonts w:ascii="Times New Roman" w:hAnsi="Times New Roman" w:eastAsiaTheme="minorEastAsia"/>
                <w:b/>
                <w:sz w:val="24"/>
                <w:szCs w:val="24"/>
              </w:rPr>
            </w:pPr>
            <w:r>
              <w:rPr>
                <w:rFonts w:ascii="Times New Roman" w:hAnsi="Times New Roman" w:eastAsiaTheme="minorEastAsia"/>
                <w:b/>
                <w:sz w:val="24"/>
                <w:szCs w:val="24"/>
              </w:rPr>
              <w:t>表</w:t>
            </w:r>
            <w:r>
              <w:rPr>
                <w:rFonts w:hint="eastAsia" w:ascii="Times New Roman" w:hAnsi="Times New Roman" w:eastAsiaTheme="minorEastAsia"/>
                <w:b/>
                <w:sz w:val="24"/>
                <w:szCs w:val="24"/>
              </w:rPr>
              <w:t xml:space="preserve">38 </w:t>
            </w:r>
            <w:r>
              <w:rPr>
                <w:rFonts w:ascii="Times New Roman" w:hAnsi="Times New Roman" w:eastAsiaTheme="minorEastAsia"/>
                <w:b/>
                <w:sz w:val="24"/>
                <w:szCs w:val="24"/>
              </w:rPr>
              <w:t xml:space="preserve">   评价等级判别表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435"/>
              <w:gridCol w:w="56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883" w:type="pct"/>
                  <w:vAlign w:val="center"/>
                </w:tcPr>
                <w:p>
                  <w:pPr>
                    <w:spacing w:line="300" w:lineRule="auto"/>
                    <w:jc w:val="center"/>
                    <w:rPr>
                      <w:rFonts w:ascii="Times New Roman" w:hAnsi="Times New Roman"/>
                      <w:kern w:val="0"/>
                      <w:szCs w:val="21"/>
                    </w:rPr>
                  </w:pPr>
                  <w:r>
                    <w:rPr>
                      <w:rFonts w:ascii="Times New Roman" w:hAnsi="Times New Roman"/>
                      <w:kern w:val="0"/>
                      <w:szCs w:val="21"/>
                    </w:rPr>
                    <w:t>评价工作等级</w:t>
                  </w:r>
                </w:p>
              </w:tc>
              <w:tc>
                <w:tcPr>
                  <w:tcW w:w="3117" w:type="pct"/>
                  <w:vAlign w:val="center"/>
                </w:tcPr>
                <w:p>
                  <w:pPr>
                    <w:spacing w:line="300" w:lineRule="auto"/>
                    <w:jc w:val="center"/>
                    <w:rPr>
                      <w:rFonts w:ascii="Times New Roman" w:hAnsi="Times New Roman"/>
                      <w:kern w:val="0"/>
                      <w:szCs w:val="21"/>
                    </w:rPr>
                  </w:pPr>
                  <w:r>
                    <w:rPr>
                      <w:rFonts w:ascii="Times New Roman" w:hAnsi="Times New Roman"/>
                      <w:kern w:val="0"/>
                      <w:szCs w:val="21"/>
                    </w:rPr>
                    <w:t>评价工作分级判据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883" w:type="pct"/>
                  <w:vAlign w:val="center"/>
                </w:tcPr>
                <w:p>
                  <w:pPr>
                    <w:spacing w:line="300" w:lineRule="auto"/>
                    <w:jc w:val="center"/>
                    <w:rPr>
                      <w:rFonts w:ascii="Times New Roman" w:hAnsi="Times New Roman"/>
                      <w:kern w:val="0"/>
                      <w:szCs w:val="21"/>
                    </w:rPr>
                  </w:pPr>
                  <w:r>
                    <w:rPr>
                      <w:rFonts w:ascii="Times New Roman" w:hAnsi="Times New Roman"/>
                      <w:kern w:val="0"/>
                      <w:szCs w:val="21"/>
                    </w:rPr>
                    <w:t>一级评价</w:t>
                  </w:r>
                </w:p>
              </w:tc>
              <w:tc>
                <w:tcPr>
                  <w:tcW w:w="3117" w:type="pct"/>
                  <w:vAlign w:val="center"/>
                </w:tcPr>
                <w:p>
                  <w:pPr>
                    <w:spacing w:line="300" w:lineRule="auto"/>
                    <w:jc w:val="center"/>
                    <w:rPr>
                      <w:rFonts w:ascii="Times New Roman" w:hAnsi="Times New Roman"/>
                      <w:kern w:val="0"/>
                      <w:szCs w:val="21"/>
                    </w:rPr>
                  </w:pPr>
                  <w:r>
                    <w:rPr>
                      <w:rFonts w:ascii="Times New Roman" w:hAnsi="Times New Roman"/>
                      <w:i/>
                      <w:iCs/>
                      <w:kern w:val="0"/>
                      <w:szCs w:val="21"/>
                    </w:rPr>
                    <w:t>P</w:t>
                  </w:r>
                  <w:r>
                    <w:rPr>
                      <w:rFonts w:ascii="Times New Roman" w:hAnsi="Times New Roman"/>
                      <w:kern w:val="0"/>
                      <w:szCs w:val="21"/>
                    </w:rPr>
                    <w:t>max ≥10%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883" w:type="pct"/>
                  <w:vAlign w:val="center"/>
                </w:tcPr>
                <w:p>
                  <w:pPr>
                    <w:spacing w:line="300" w:lineRule="auto"/>
                    <w:jc w:val="center"/>
                    <w:rPr>
                      <w:rFonts w:ascii="Times New Roman" w:hAnsi="Times New Roman"/>
                      <w:kern w:val="0"/>
                      <w:szCs w:val="21"/>
                    </w:rPr>
                  </w:pPr>
                  <w:r>
                    <w:rPr>
                      <w:rFonts w:ascii="Times New Roman" w:hAnsi="Times New Roman"/>
                      <w:kern w:val="0"/>
                      <w:szCs w:val="21"/>
                    </w:rPr>
                    <w:t>二级评价</w:t>
                  </w:r>
                </w:p>
              </w:tc>
              <w:tc>
                <w:tcPr>
                  <w:tcW w:w="3117" w:type="pct"/>
                  <w:vAlign w:val="center"/>
                </w:tcPr>
                <w:p>
                  <w:pPr>
                    <w:spacing w:line="300" w:lineRule="auto"/>
                    <w:jc w:val="center"/>
                    <w:rPr>
                      <w:rFonts w:ascii="Times New Roman" w:hAnsi="Times New Roman"/>
                      <w:kern w:val="0"/>
                      <w:szCs w:val="21"/>
                    </w:rPr>
                  </w:pPr>
                  <w:r>
                    <w:rPr>
                      <w:rFonts w:ascii="Times New Roman" w:hAnsi="Times New Roman"/>
                      <w:kern w:val="0"/>
                      <w:szCs w:val="21"/>
                    </w:rPr>
                    <w:t>1% ≤</w:t>
                  </w:r>
                  <w:r>
                    <w:rPr>
                      <w:rFonts w:ascii="Times New Roman" w:hAnsi="Times New Roman"/>
                      <w:i/>
                      <w:iCs/>
                      <w:kern w:val="0"/>
                      <w:szCs w:val="21"/>
                    </w:rPr>
                    <w:t>P</w:t>
                  </w:r>
                  <w:r>
                    <w:rPr>
                      <w:rFonts w:ascii="Times New Roman" w:hAnsi="Times New Roman"/>
                      <w:kern w:val="0"/>
                      <w:szCs w:val="21"/>
                    </w:rPr>
                    <w:t>max ＜10%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883" w:type="pct"/>
                  <w:vAlign w:val="center"/>
                </w:tcPr>
                <w:p>
                  <w:pPr>
                    <w:spacing w:line="300" w:lineRule="auto"/>
                    <w:jc w:val="center"/>
                    <w:rPr>
                      <w:rFonts w:ascii="Times New Roman" w:hAnsi="Times New Roman"/>
                      <w:kern w:val="0"/>
                      <w:szCs w:val="21"/>
                    </w:rPr>
                  </w:pPr>
                  <w:r>
                    <w:rPr>
                      <w:rFonts w:ascii="Times New Roman" w:hAnsi="Times New Roman"/>
                      <w:kern w:val="0"/>
                      <w:szCs w:val="21"/>
                    </w:rPr>
                    <w:t>三级评价</w:t>
                  </w:r>
                </w:p>
              </w:tc>
              <w:tc>
                <w:tcPr>
                  <w:tcW w:w="3117" w:type="pct"/>
                  <w:vAlign w:val="center"/>
                </w:tcPr>
                <w:p>
                  <w:pPr>
                    <w:spacing w:line="300" w:lineRule="auto"/>
                    <w:jc w:val="center"/>
                    <w:rPr>
                      <w:rFonts w:ascii="Times New Roman" w:hAnsi="Times New Roman"/>
                      <w:kern w:val="0"/>
                      <w:szCs w:val="21"/>
                    </w:rPr>
                  </w:pPr>
                  <w:r>
                    <w:rPr>
                      <w:rFonts w:ascii="Times New Roman" w:hAnsi="Times New Roman"/>
                      <w:i/>
                      <w:iCs/>
                      <w:kern w:val="0"/>
                      <w:szCs w:val="21"/>
                    </w:rPr>
                    <w:t>P</w:t>
                  </w:r>
                  <w:r>
                    <w:rPr>
                      <w:rFonts w:ascii="Times New Roman" w:hAnsi="Times New Roman"/>
                      <w:kern w:val="0"/>
                      <w:szCs w:val="21"/>
                    </w:rPr>
                    <w:t>max＜1%</w:t>
                  </w:r>
                </w:p>
              </w:tc>
            </w:tr>
          </w:tbl>
          <w:p>
            <w:pPr>
              <w:spacing w:line="360" w:lineRule="auto"/>
              <w:ind w:firstLine="560" w:firstLineChars="200"/>
              <w:rPr>
                <w:rFonts w:ascii="宋体" w:hAnsi="宋体" w:cs="宋体"/>
                <w:sz w:val="28"/>
                <w:szCs w:val="28"/>
              </w:rPr>
            </w:pPr>
            <w:r>
              <w:rPr>
                <w:rFonts w:hint="eastAsia" w:ascii="宋体" w:hAnsi="宋体" w:cs="宋体"/>
                <w:sz w:val="28"/>
                <w:szCs w:val="28"/>
              </w:rPr>
              <w:t>污染物的最大落地浓度占标率均小于10%，无组织排放的非甲烷总烃最大占标率为5.19 %。根据《环境影响评价技术导则—大气环境》（HJ2.2-2018）表2规定，本项目大气环境评价等级确定为二级。</w:t>
            </w:r>
          </w:p>
          <w:p>
            <w:pPr>
              <w:spacing w:line="360" w:lineRule="auto"/>
              <w:ind w:firstLine="560" w:firstLineChars="200"/>
              <w:rPr>
                <w:rFonts w:ascii="Times New Roman" w:hAnsi="Times New Roman"/>
                <w:sz w:val="28"/>
                <w:szCs w:val="28"/>
              </w:rPr>
            </w:pPr>
            <w:r>
              <w:rPr>
                <w:rFonts w:hint="eastAsia" w:ascii="宋体" w:hAnsi="宋体" w:cs="宋体"/>
                <w:sz w:val="28"/>
                <w:szCs w:val="28"/>
              </w:rPr>
              <w:t>③</w:t>
            </w:r>
            <w:r>
              <w:rPr>
                <w:rFonts w:ascii="Times New Roman" w:hAnsi="Times New Roman"/>
                <w:sz w:val="28"/>
                <w:szCs w:val="28"/>
              </w:rPr>
              <w:t xml:space="preserve"> 污染物排放量核算</w:t>
            </w:r>
          </w:p>
          <w:p>
            <w:pPr>
              <w:spacing w:line="360" w:lineRule="auto"/>
              <w:ind w:firstLine="560" w:firstLineChars="200"/>
              <w:rPr>
                <w:rFonts w:ascii="Times New Roman" w:hAnsi="Times New Roman"/>
                <w:sz w:val="28"/>
                <w:szCs w:val="28"/>
              </w:rPr>
            </w:pPr>
            <w:r>
              <w:rPr>
                <w:rFonts w:ascii="Times New Roman" w:hAnsi="Times New Roman"/>
                <w:sz w:val="28"/>
                <w:szCs w:val="28"/>
              </w:rPr>
              <w:t>根据《环境影响评价技术导则——大气环境》（HJ2.2-2018）可知：二级评价项目不进行进一步预测与评价，只对污染物排放量进行核算。本项目污染物核算量表如下所示。</w:t>
            </w:r>
          </w:p>
          <w:p>
            <w:pPr>
              <w:spacing w:line="360" w:lineRule="auto"/>
              <w:ind w:firstLine="560" w:firstLineChars="200"/>
              <w:rPr>
                <w:sz w:val="28"/>
                <w:szCs w:val="28"/>
              </w:rPr>
            </w:pPr>
            <w:r>
              <w:rPr>
                <w:rFonts w:hint="eastAsia" w:ascii="宋体" w:hAnsi="宋体" w:cs="宋体"/>
                <w:sz w:val="28"/>
                <w:szCs w:val="28"/>
              </w:rPr>
              <w:t>a</w:t>
            </w:r>
            <w:r>
              <w:rPr>
                <w:sz w:val="28"/>
                <w:szCs w:val="28"/>
              </w:rPr>
              <w:t xml:space="preserve"> 有组织排放量核算</w:t>
            </w:r>
          </w:p>
          <w:p>
            <w:pPr>
              <w:spacing w:line="360" w:lineRule="auto"/>
              <w:jc w:val="center"/>
              <w:rPr>
                <w:b/>
                <w:sz w:val="24"/>
                <w:szCs w:val="24"/>
              </w:rPr>
            </w:pPr>
            <w:r>
              <w:rPr>
                <w:b/>
                <w:sz w:val="24"/>
                <w:szCs w:val="24"/>
              </w:rPr>
              <w:t>表</w:t>
            </w:r>
            <w:r>
              <w:rPr>
                <w:rFonts w:hint="eastAsia"/>
                <w:b/>
                <w:sz w:val="24"/>
                <w:szCs w:val="24"/>
              </w:rPr>
              <w:t xml:space="preserve">39   </w:t>
            </w:r>
            <w:r>
              <w:rPr>
                <w:b/>
                <w:sz w:val="24"/>
                <w:szCs w:val="24"/>
              </w:rPr>
              <w:t xml:space="preserve"> 大气污染物有组织排放量核算表</w:t>
            </w:r>
          </w:p>
          <w:tbl>
            <w:tblPr>
              <w:tblStyle w:val="27"/>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157"/>
              <w:gridCol w:w="1622"/>
              <w:gridCol w:w="1819"/>
              <w:gridCol w:w="1821"/>
              <w:gridCol w:w="172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pPr>
                    <w:jc w:val="center"/>
                    <w:rPr>
                      <w:szCs w:val="21"/>
                    </w:rPr>
                  </w:pPr>
                  <w:r>
                    <w:rPr>
                      <w:szCs w:val="21"/>
                    </w:rPr>
                    <w:t>序号</w:t>
                  </w:r>
                </w:p>
              </w:tc>
              <w:tc>
                <w:tcPr>
                  <w:tcW w:w="634" w:type="pct"/>
                  <w:vAlign w:val="center"/>
                </w:tcPr>
                <w:p>
                  <w:pPr>
                    <w:jc w:val="center"/>
                    <w:rPr>
                      <w:szCs w:val="21"/>
                    </w:rPr>
                  </w:pPr>
                  <w:r>
                    <w:rPr>
                      <w:szCs w:val="21"/>
                    </w:rPr>
                    <w:t>排放口</w:t>
                  </w:r>
                </w:p>
                <w:p>
                  <w:pPr>
                    <w:jc w:val="center"/>
                    <w:rPr>
                      <w:szCs w:val="21"/>
                    </w:rPr>
                  </w:pPr>
                  <w:r>
                    <w:rPr>
                      <w:szCs w:val="21"/>
                    </w:rPr>
                    <w:t>编号</w:t>
                  </w:r>
                </w:p>
              </w:tc>
              <w:tc>
                <w:tcPr>
                  <w:tcW w:w="889" w:type="pct"/>
                  <w:vAlign w:val="center"/>
                </w:tcPr>
                <w:p>
                  <w:pPr>
                    <w:jc w:val="center"/>
                    <w:rPr>
                      <w:szCs w:val="21"/>
                    </w:rPr>
                  </w:pPr>
                  <w:r>
                    <w:rPr>
                      <w:szCs w:val="21"/>
                    </w:rPr>
                    <w:t>污染物</w:t>
                  </w:r>
                </w:p>
              </w:tc>
              <w:tc>
                <w:tcPr>
                  <w:tcW w:w="997" w:type="pct"/>
                  <w:vAlign w:val="center"/>
                </w:tcPr>
                <w:p>
                  <w:pPr>
                    <w:jc w:val="center"/>
                    <w:rPr>
                      <w:szCs w:val="21"/>
                    </w:rPr>
                  </w:pPr>
                  <w:r>
                    <w:rPr>
                      <w:szCs w:val="21"/>
                    </w:rPr>
                    <w:t>核算排放浓度/</w:t>
                  </w:r>
                </w:p>
                <w:p>
                  <w:pPr>
                    <w:jc w:val="center"/>
                    <w:rPr>
                      <w:szCs w:val="21"/>
                    </w:rPr>
                  </w:pPr>
                  <w:r>
                    <w:rPr>
                      <w:szCs w:val="21"/>
                    </w:rPr>
                    <w:t>（mg/m</w:t>
                  </w:r>
                  <w:r>
                    <w:rPr>
                      <w:szCs w:val="21"/>
                      <w:vertAlign w:val="superscript"/>
                    </w:rPr>
                    <w:t>3</w:t>
                  </w:r>
                  <w:r>
                    <w:rPr>
                      <w:szCs w:val="21"/>
                    </w:rPr>
                    <w:t>）</w:t>
                  </w:r>
                </w:p>
              </w:tc>
              <w:tc>
                <w:tcPr>
                  <w:tcW w:w="998" w:type="pct"/>
                  <w:vAlign w:val="center"/>
                </w:tcPr>
                <w:p>
                  <w:pPr>
                    <w:jc w:val="center"/>
                    <w:rPr>
                      <w:szCs w:val="21"/>
                    </w:rPr>
                  </w:pPr>
                  <w:r>
                    <w:rPr>
                      <w:szCs w:val="21"/>
                    </w:rPr>
                    <w:t>核算排放速率/</w:t>
                  </w:r>
                </w:p>
                <w:p>
                  <w:pPr>
                    <w:jc w:val="center"/>
                    <w:rPr>
                      <w:szCs w:val="21"/>
                    </w:rPr>
                  </w:pPr>
                  <w:r>
                    <w:rPr>
                      <w:szCs w:val="21"/>
                    </w:rPr>
                    <w:t>（kg/h）</w:t>
                  </w:r>
                </w:p>
              </w:tc>
              <w:tc>
                <w:tcPr>
                  <w:tcW w:w="946" w:type="pct"/>
                  <w:vAlign w:val="center"/>
                </w:tcPr>
                <w:p>
                  <w:pPr>
                    <w:jc w:val="center"/>
                    <w:rPr>
                      <w:szCs w:val="21"/>
                    </w:rPr>
                  </w:pPr>
                  <w:r>
                    <w:rPr>
                      <w:szCs w:val="21"/>
                    </w:rPr>
                    <w:t>核算年排放量/</w:t>
                  </w:r>
                </w:p>
                <w:p>
                  <w:pPr>
                    <w:jc w:val="center"/>
                    <w:rPr>
                      <w:szCs w:val="21"/>
                    </w:rPr>
                  </w:pPr>
                  <w:r>
                    <w:rPr>
                      <w:szCs w:val="21"/>
                    </w:rPr>
                    <w:t>（t/a）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pPr>
                    <w:jc w:val="center"/>
                    <w:rPr>
                      <w:szCs w:val="21"/>
                    </w:rPr>
                  </w:pPr>
                  <w:r>
                    <w:rPr>
                      <w:szCs w:val="21"/>
                    </w:rPr>
                    <w:t>主要排放口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pPr>
                    <w:jc w:val="center"/>
                    <w:rPr>
                      <w:szCs w:val="21"/>
                    </w:rPr>
                  </w:pPr>
                  <w:r>
                    <w:rPr>
                      <w:szCs w:val="21"/>
                    </w:rPr>
                    <w:t>1</w:t>
                  </w:r>
                </w:p>
              </w:tc>
              <w:tc>
                <w:tcPr>
                  <w:tcW w:w="634" w:type="pct"/>
                  <w:vAlign w:val="center"/>
                </w:tcPr>
                <w:p>
                  <w:pPr>
                    <w:jc w:val="center"/>
                    <w:rPr>
                      <w:szCs w:val="21"/>
                    </w:rPr>
                  </w:pPr>
                  <w:r>
                    <w:rPr>
                      <w:rFonts w:hint="eastAsia"/>
                      <w:szCs w:val="21"/>
                    </w:rPr>
                    <w:t>P1</w:t>
                  </w:r>
                </w:p>
              </w:tc>
              <w:tc>
                <w:tcPr>
                  <w:tcW w:w="889" w:type="pct"/>
                  <w:vAlign w:val="center"/>
                </w:tcPr>
                <w:p>
                  <w:pPr>
                    <w:jc w:val="center"/>
                    <w:rPr>
                      <w:szCs w:val="21"/>
                    </w:rPr>
                  </w:pPr>
                  <w:r>
                    <w:rPr>
                      <w:rFonts w:hint="eastAsia"/>
                      <w:szCs w:val="21"/>
                    </w:rPr>
                    <w:t>油烟</w:t>
                  </w:r>
                </w:p>
              </w:tc>
              <w:tc>
                <w:tcPr>
                  <w:tcW w:w="997" w:type="pct"/>
                  <w:vAlign w:val="center"/>
                </w:tcPr>
                <w:p>
                  <w:pPr>
                    <w:jc w:val="center"/>
                    <w:rPr>
                      <w:szCs w:val="21"/>
                    </w:rPr>
                  </w:pPr>
                  <w:r>
                    <w:rPr>
                      <w:rFonts w:hint="eastAsia"/>
                      <w:szCs w:val="21"/>
                    </w:rPr>
                    <w:t>1.9</w:t>
                  </w:r>
                </w:p>
              </w:tc>
              <w:tc>
                <w:tcPr>
                  <w:tcW w:w="998" w:type="pct"/>
                  <w:vAlign w:val="center"/>
                </w:tcPr>
                <w:p>
                  <w:pPr>
                    <w:jc w:val="center"/>
                    <w:rPr>
                      <w:szCs w:val="21"/>
                    </w:rPr>
                  </w:pPr>
                  <w:r>
                    <w:rPr>
                      <w:rFonts w:hint="eastAsia"/>
                      <w:szCs w:val="21"/>
                    </w:rPr>
                    <w:t>0.00048</w:t>
                  </w:r>
                </w:p>
              </w:tc>
              <w:tc>
                <w:tcPr>
                  <w:tcW w:w="946" w:type="pct"/>
                  <w:vAlign w:val="center"/>
                </w:tcPr>
                <w:p>
                  <w:pPr>
                    <w:jc w:val="center"/>
                    <w:rPr>
                      <w:szCs w:val="21"/>
                    </w:rPr>
                  </w:pPr>
                  <w:r>
                    <w:rPr>
                      <w:rFonts w:eastAsiaTheme="minorEastAsia"/>
                      <w:szCs w:val="21"/>
                    </w:rPr>
                    <w:t>0.70 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36" w:type="pct"/>
                  <w:vAlign w:val="center"/>
                </w:tcPr>
                <w:p>
                  <w:pPr>
                    <w:jc w:val="center"/>
                    <w:rPr>
                      <w:szCs w:val="21"/>
                    </w:rPr>
                  </w:pPr>
                  <w:r>
                    <w:rPr>
                      <w:szCs w:val="21"/>
                    </w:rPr>
                    <w:t>主要排放口合计</w:t>
                  </w:r>
                </w:p>
              </w:tc>
              <w:tc>
                <w:tcPr>
                  <w:tcW w:w="3518" w:type="pct"/>
                  <w:gridSpan w:val="4"/>
                  <w:vAlign w:val="center"/>
                </w:tcPr>
                <w:p>
                  <w:pPr>
                    <w:jc w:val="center"/>
                    <w:rPr>
                      <w:szCs w:val="21"/>
                    </w:rPr>
                  </w:pPr>
                  <w:r>
                    <w:rPr>
                      <w:rFonts w:hint="eastAsia"/>
                      <w:szCs w:val="21"/>
                    </w:rPr>
                    <w:t>油烟</w:t>
                  </w:r>
                </w:p>
              </w:tc>
              <w:tc>
                <w:tcPr>
                  <w:tcW w:w="946" w:type="pct"/>
                  <w:vAlign w:val="center"/>
                </w:tcPr>
                <w:p>
                  <w:pPr>
                    <w:jc w:val="center"/>
                    <w:rPr>
                      <w:szCs w:val="21"/>
                    </w:rPr>
                  </w:pPr>
                  <w:r>
                    <w:rPr>
                      <w:rFonts w:eastAsiaTheme="minorEastAsia"/>
                      <w:szCs w:val="21"/>
                    </w:rPr>
                    <w:t>0.70 kg/a</w:t>
                  </w:r>
                </w:p>
              </w:tc>
            </w:tr>
          </w:tbl>
          <w:p>
            <w:pPr>
              <w:spacing w:line="360" w:lineRule="auto"/>
              <w:ind w:firstLine="560" w:firstLineChars="200"/>
              <w:rPr>
                <w:rFonts w:ascii="宋体" w:hAnsi="宋体" w:cs="宋体"/>
                <w:sz w:val="28"/>
                <w:szCs w:val="28"/>
              </w:rPr>
            </w:pPr>
            <w:r>
              <w:rPr>
                <w:rFonts w:hint="eastAsia" w:ascii="宋体" w:hAnsi="宋体" w:cs="宋体"/>
                <w:sz w:val="28"/>
                <w:szCs w:val="28"/>
              </w:rPr>
              <w:t>b</w:t>
            </w:r>
            <w:r>
              <w:rPr>
                <w:rFonts w:ascii="宋体" w:hAnsi="宋体" w:cs="宋体"/>
                <w:sz w:val="28"/>
                <w:szCs w:val="28"/>
              </w:rPr>
              <w:t xml:space="preserve"> 无组织排放量核算</w:t>
            </w:r>
          </w:p>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40</w:t>
            </w:r>
            <w:r>
              <w:rPr>
                <w:rFonts w:ascii="Times New Roman" w:hAnsi="Times New Roman"/>
                <w:b/>
                <w:sz w:val="24"/>
              </w:rPr>
              <w:t xml:space="preserve">   大气污染物无组织排放量核算表</w:t>
            </w:r>
          </w:p>
          <w:tbl>
            <w:tblPr>
              <w:tblStyle w:val="26"/>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755"/>
              <w:gridCol w:w="973"/>
              <w:gridCol w:w="885"/>
              <w:gridCol w:w="1302"/>
              <w:gridCol w:w="1943"/>
              <w:gridCol w:w="1233"/>
              <w:gridCol w:w="141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8" w:type="dxa"/>
                  <w:vMerge w:val="restart"/>
                  <w:vAlign w:val="center"/>
                </w:tcPr>
                <w:p>
                  <w:pPr>
                    <w:spacing w:line="300" w:lineRule="auto"/>
                    <w:jc w:val="center"/>
                    <w:rPr>
                      <w:rFonts w:ascii="Times New Roman" w:hAnsi="Times New Roman"/>
                      <w:szCs w:val="21"/>
                    </w:rPr>
                  </w:pPr>
                  <w:r>
                    <w:rPr>
                      <w:rFonts w:ascii="Times New Roman" w:hAnsi="Times New Roman"/>
                      <w:szCs w:val="21"/>
                    </w:rPr>
                    <w:t>序号</w:t>
                  </w:r>
                </w:p>
              </w:tc>
              <w:tc>
                <w:tcPr>
                  <w:tcW w:w="789" w:type="dxa"/>
                  <w:vMerge w:val="restart"/>
                  <w:vAlign w:val="center"/>
                </w:tcPr>
                <w:p>
                  <w:pPr>
                    <w:spacing w:line="300" w:lineRule="auto"/>
                    <w:jc w:val="center"/>
                    <w:rPr>
                      <w:rFonts w:ascii="Times New Roman" w:hAnsi="Times New Roman"/>
                      <w:szCs w:val="21"/>
                    </w:rPr>
                  </w:pPr>
                  <w:r>
                    <w:rPr>
                      <w:rFonts w:ascii="Times New Roman" w:hAnsi="Times New Roman"/>
                      <w:szCs w:val="21"/>
                    </w:rPr>
                    <w:t>排放口编号</w:t>
                  </w:r>
                </w:p>
              </w:tc>
              <w:tc>
                <w:tcPr>
                  <w:tcW w:w="1030" w:type="dxa"/>
                  <w:vMerge w:val="restart"/>
                  <w:vAlign w:val="center"/>
                </w:tcPr>
                <w:p>
                  <w:pPr>
                    <w:spacing w:line="300" w:lineRule="auto"/>
                    <w:jc w:val="center"/>
                    <w:rPr>
                      <w:rFonts w:ascii="Times New Roman" w:hAnsi="Times New Roman"/>
                      <w:szCs w:val="21"/>
                    </w:rPr>
                  </w:pPr>
                  <w:r>
                    <w:rPr>
                      <w:rFonts w:ascii="Times New Roman" w:hAnsi="Times New Roman"/>
                      <w:szCs w:val="21"/>
                    </w:rPr>
                    <w:t>产污环节</w:t>
                  </w:r>
                </w:p>
              </w:tc>
              <w:tc>
                <w:tcPr>
                  <w:tcW w:w="933" w:type="dxa"/>
                  <w:vMerge w:val="restart"/>
                  <w:vAlign w:val="center"/>
                </w:tcPr>
                <w:p>
                  <w:pPr>
                    <w:spacing w:line="300" w:lineRule="auto"/>
                    <w:jc w:val="center"/>
                    <w:rPr>
                      <w:rFonts w:ascii="Times New Roman" w:hAnsi="Times New Roman"/>
                      <w:szCs w:val="21"/>
                    </w:rPr>
                  </w:pPr>
                  <w:r>
                    <w:rPr>
                      <w:rFonts w:ascii="Times New Roman" w:hAnsi="Times New Roman"/>
                      <w:szCs w:val="21"/>
                    </w:rPr>
                    <w:t>污染物</w:t>
                  </w:r>
                </w:p>
              </w:tc>
              <w:tc>
                <w:tcPr>
                  <w:tcW w:w="1393" w:type="dxa"/>
                  <w:vMerge w:val="restart"/>
                  <w:vAlign w:val="center"/>
                </w:tcPr>
                <w:p>
                  <w:pPr>
                    <w:spacing w:line="300" w:lineRule="auto"/>
                    <w:jc w:val="center"/>
                    <w:rPr>
                      <w:rFonts w:ascii="Times New Roman" w:hAnsi="Times New Roman"/>
                      <w:szCs w:val="21"/>
                    </w:rPr>
                  </w:pPr>
                  <w:r>
                    <w:rPr>
                      <w:rFonts w:ascii="Times New Roman" w:hAnsi="Times New Roman"/>
                      <w:szCs w:val="21"/>
                    </w:rPr>
                    <w:t>主要污染防治措施</w:t>
                  </w:r>
                </w:p>
              </w:tc>
              <w:tc>
                <w:tcPr>
                  <w:tcW w:w="2858" w:type="dxa"/>
                  <w:gridSpan w:val="2"/>
                  <w:vAlign w:val="center"/>
                </w:tcPr>
                <w:p>
                  <w:pPr>
                    <w:spacing w:line="300" w:lineRule="auto"/>
                    <w:jc w:val="center"/>
                    <w:rPr>
                      <w:rFonts w:ascii="Times New Roman" w:hAnsi="Times New Roman"/>
                      <w:szCs w:val="21"/>
                    </w:rPr>
                  </w:pPr>
                  <w:r>
                    <w:rPr>
                      <w:rFonts w:ascii="Times New Roman" w:hAnsi="Times New Roman"/>
                      <w:szCs w:val="21"/>
                    </w:rPr>
                    <w:t>国家或地方污染物排放标准</w:t>
                  </w:r>
                </w:p>
              </w:tc>
              <w:tc>
                <w:tcPr>
                  <w:tcW w:w="1471" w:type="dxa"/>
                  <w:vMerge w:val="restart"/>
                  <w:vAlign w:val="center"/>
                </w:tcPr>
                <w:p>
                  <w:pPr>
                    <w:spacing w:line="300" w:lineRule="auto"/>
                    <w:jc w:val="center"/>
                    <w:rPr>
                      <w:rFonts w:ascii="Times New Roman" w:hAnsi="Times New Roman"/>
                      <w:szCs w:val="21"/>
                    </w:rPr>
                  </w:pPr>
                  <w:r>
                    <w:rPr>
                      <w:rFonts w:ascii="Times New Roman" w:hAnsi="Times New Roman"/>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8" w:type="dxa"/>
                  <w:vMerge w:val="continue"/>
                  <w:vAlign w:val="center"/>
                </w:tcPr>
                <w:p>
                  <w:pPr>
                    <w:spacing w:line="300" w:lineRule="auto"/>
                    <w:jc w:val="center"/>
                    <w:rPr>
                      <w:rFonts w:ascii="Times New Roman" w:hAnsi="Times New Roman"/>
                      <w:szCs w:val="21"/>
                    </w:rPr>
                  </w:pPr>
                </w:p>
              </w:tc>
              <w:tc>
                <w:tcPr>
                  <w:tcW w:w="789" w:type="dxa"/>
                  <w:vMerge w:val="continue"/>
                  <w:vAlign w:val="center"/>
                </w:tcPr>
                <w:p>
                  <w:pPr>
                    <w:spacing w:line="300" w:lineRule="auto"/>
                    <w:jc w:val="center"/>
                    <w:rPr>
                      <w:rFonts w:ascii="Times New Roman" w:hAnsi="Times New Roman"/>
                      <w:szCs w:val="21"/>
                    </w:rPr>
                  </w:pPr>
                </w:p>
              </w:tc>
              <w:tc>
                <w:tcPr>
                  <w:tcW w:w="1030" w:type="dxa"/>
                  <w:vMerge w:val="continue"/>
                  <w:vAlign w:val="center"/>
                </w:tcPr>
                <w:p>
                  <w:pPr>
                    <w:spacing w:line="300" w:lineRule="auto"/>
                    <w:jc w:val="center"/>
                    <w:rPr>
                      <w:rFonts w:ascii="Times New Roman" w:hAnsi="Times New Roman"/>
                      <w:szCs w:val="21"/>
                    </w:rPr>
                  </w:pPr>
                </w:p>
              </w:tc>
              <w:tc>
                <w:tcPr>
                  <w:tcW w:w="933" w:type="dxa"/>
                  <w:vMerge w:val="continue"/>
                  <w:vAlign w:val="center"/>
                </w:tcPr>
                <w:p>
                  <w:pPr>
                    <w:spacing w:line="300" w:lineRule="auto"/>
                    <w:jc w:val="center"/>
                    <w:rPr>
                      <w:rFonts w:ascii="Times New Roman" w:hAnsi="Times New Roman"/>
                      <w:szCs w:val="21"/>
                    </w:rPr>
                  </w:pPr>
                </w:p>
              </w:tc>
              <w:tc>
                <w:tcPr>
                  <w:tcW w:w="1393" w:type="dxa"/>
                  <w:vMerge w:val="continue"/>
                  <w:vAlign w:val="center"/>
                </w:tcPr>
                <w:p>
                  <w:pPr>
                    <w:spacing w:line="300" w:lineRule="auto"/>
                    <w:jc w:val="center"/>
                    <w:rPr>
                      <w:rFonts w:ascii="Times New Roman" w:hAnsi="Times New Roman"/>
                      <w:szCs w:val="21"/>
                    </w:rPr>
                  </w:pPr>
                </w:p>
              </w:tc>
              <w:tc>
                <w:tcPr>
                  <w:tcW w:w="1622" w:type="dxa"/>
                  <w:vAlign w:val="center"/>
                </w:tcPr>
                <w:p>
                  <w:pPr>
                    <w:spacing w:line="300" w:lineRule="auto"/>
                    <w:jc w:val="center"/>
                    <w:rPr>
                      <w:rFonts w:ascii="Times New Roman" w:hAnsi="Times New Roman"/>
                      <w:szCs w:val="21"/>
                    </w:rPr>
                  </w:pPr>
                  <w:r>
                    <w:rPr>
                      <w:rFonts w:ascii="Times New Roman" w:hAnsi="Times New Roman"/>
                      <w:szCs w:val="21"/>
                    </w:rPr>
                    <w:t>标准</w:t>
                  </w:r>
                </w:p>
                <w:p>
                  <w:pPr>
                    <w:spacing w:line="300" w:lineRule="auto"/>
                    <w:jc w:val="center"/>
                    <w:rPr>
                      <w:rFonts w:ascii="Times New Roman" w:hAnsi="Times New Roman"/>
                      <w:szCs w:val="21"/>
                    </w:rPr>
                  </w:pPr>
                  <w:r>
                    <w:rPr>
                      <w:rFonts w:ascii="Times New Roman" w:hAnsi="Times New Roman"/>
                      <w:szCs w:val="21"/>
                    </w:rPr>
                    <w:t>名称</w:t>
                  </w:r>
                </w:p>
              </w:tc>
              <w:tc>
                <w:tcPr>
                  <w:tcW w:w="1236" w:type="dxa"/>
                  <w:vAlign w:val="center"/>
                </w:tcPr>
                <w:p>
                  <w:pPr>
                    <w:spacing w:line="300" w:lineRule="auto"/>
                    <w:jc w:val="center"/>
                    <w:rPr>
                      <w:rFonts w:ascii="Times New Roman" w:hAnsi="Times New Roman"/>
                      <w:szCs w:val="21"/>
                    </w:rPr>
                  </w:pPr>
                  <w:r>
                    <w:rPr>
                      <w:rFonts w:ascii="Times New Roman" w:hAnsi="Times New Roman"/>
                      <w:szCs w:val="21"/>
                    </w:rPr>
                    <w:t>浓度限值（mg/m</w:t>
                  </w:r>
                  <w:r>
                    <w:rPr>
                      <w:rFonts w:ascii="Times New Roman" w:hAnsi="Times New Roman"/>
                      <w:szCs w:val="21"/>
                      <w:vertAlign w:val="superscript"/>
                    </w:rPr>
                    <w:t>3</w:t>
                  </w:r>
                  <w:r>
                    <w:rPr>
                      <w:rFonts w:ascii="Times New Roman" w:hAnsi="Times New Roman"/>
                      <w:szCs w:val="21"/>
                    </w:rPr>
                    <w:t>）</w:t>
                  </w:r>
                </w:p>
              </w:tc>
              <w:tc>
                <w:tcPr>
                  <w:tcW w:w="1471" w:type="dxa"/>
                  <w:vMerge w:val="continue"/>
                  <w:vAlign w:val="center"/>
                </w:tcPr>
                <w:p>
                  <w:pPr>
                    <w:spacing w:line="300" w:lineRule="auto"/>
                    <w:jc w:val="center"/>
                    <w:rPr>
                      <w:rFonts w:ascii="Times New Roman" w:hAnsi="Times New Roman"/>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pPr>
                    <w:spacing w:line="300" w:lineRule="auto"/>
                    <w:jc w:val="center"/>
                    <w:rPr>
                      <w:rFonts w:ascii="Times New Roman" w:hAnsi="Times New Roman"/>
                      <w:szCs w:val="21"/>
                    </w:rPr>
                  </w:pPr>
                  <w:r>
                    <w:rPr>
                      <w:rFonts w:ascii="Times New Roman" w:hAnsi="Times New Roman"/>
                      <w:szCs w:val="21"/>
                    </w:rPr>
                    <w:t>1</w:t>
                  </w:r>
                </w:p>
              </w:tc>
              <w:tc>
                <w:tcPr>
                  <w:tcW w:w="789" w:type="dxa"/>
                  <w:vAlign w:val="center"/>
                </w:tcPr>
                <w:p>
                  <w:pPr>
                    <w:spacing w:line="300" w:lineRule="auto"/>
                    <w:jc w:val="center"/>
                    <w:rPr>
                      <w:rFonts w:ascii="Times New Roman" w:hAnsi="Times New Roman"/>
                      <w:szCs w:val="21"/>
                    </w:rPr>
                  </w:pPr>
                  <w:r>
                    <w:rPr>
                      <w:rFonts w:ascii="Times New Roman" w:hAnsi="Times New Roman"/>
                      <w:szCs w:val="21"/>
                    </w:rPr>
                    <w:t>/</w:t>
                  </w:r>
                </w:p>
              </w:tc>
              <w:tc>
                <w:tcPr>
                  <w:tcW w:w="1030" w:type="dxa"/>
                  <w:vAlign w:val="center"/>
                </w:tcPr>
                <w:p>
                  <w:pPr>
                    <w:spacing w:line="300" w:lineRule="auto"/>
                    <w:jc w:val="center"/>
                    <w:rPr>
                      <w:rFonts w:ascii="Times New Roman" w:hAnsi="Times New Roman"/>
                      <w:szCs w:val="21"/>
                    </w:rPr>
                  </w:pPr>
                  <w:r>
                    <w:rPr>
                      <w:rFonts w:ascii="Times New Roman" w:hAnsi="Times New Roman"/>
                      <w:szCs w:val="21"/>
                    </w:rPr>
                    <w:t>加油站运营</w:t>
                  </w:r>
                </w:p>
              </w:tc>
              <w:tc>
                <w:tcPr>
                  <w:tcW w:w="933" w:type="dxa"/>
                  <w:vAlign w:val="center"/>
                </w:tcPr>
                <w:p>
                  <w:pPr>
                    <w:pStyle w:val="63"/>
                  </w:pPr>
                  <w:r>
                    <w:t>非甲烷总烃</w:t>
                  </w:r>
                </w:p>
              </w:tc>
              <w:tc>
                <w:tcPr>
                  <w:tcW w:w="1393" w:type="dxa"/>
                  <w:vAlign w:val="center"/>
                </w:tcPr>
                <w:p>
                  <w:pPr>
                    <w:spacing w:line="300" w:lineRule="auto"/>
                    <w:jc w:val="center"/>
                    <w:rPr>
                      <w:rFonts w:ascii="Times New Roman" w:hAnsi="Times New Roman"/>
                      <w:szCs w:val="21"/>
                    </w:rPr>
                  </w:pPr>
                  <w:r>
                    <w:rPr>
                      <w:rFonts w:ascii="Times New Roman" w:hAnsi="Times New Roman"/>
                      <w:szCs w:val="21"/>
                    </w:rPr>
                    <w:t>油气回收装置</w:t>
                  </w:r>
                </w:p>
              </w:tc>
              <w:tc>
                <w:tcPr>
                  <w:tcW w:w="1622" w:type="dxa"/>
                  <w:vAlign w:val="center"/>
                </w:tcPr>
                <w:p>
                  <w:pPr>
                    <w:spacing w:line="300" w:lineRule="auto"/>
                    <w:jc w:val="center"/>
                    <w:rPr>
                      <w:rFonts w:ascii="Times New Roman" w:hAnsi="Times New Roman"/>
                      <w:szCs w:val="21"/>
                    </w:rPr>
                  </w:pPr>
                  <w:r>
                    <w:rPr>
                      <w:rFonts w:ascii="Times New Roman" w:hAnsi="Times New Roman"/>
                      <w:szCs w:val="21"/>
                    </w:rPr>
                    <w:t>《大气污染物综合排放标准》（GB16297-1996）</w:t>
                  </w:r>
                </w:p>
              </w:tc>
              <w:tc>
                <w:tcPr>
                  <w:tcW w:w="1236" w:type="dxa"/>
                  <w:vAlign w:val="center"/>
                </w:tcPr>
                <w:p>
                  <w:pPr>
                    <w:spacing w:line="300" w:lineRule="auto"/>
                    <w:jc w:val="center"/>
                    <w:rPr>
                      <w:rFonts w:ascii="Times New Roman" w:hAnsi="Times New Roman"/>
                      <w:szCs w:val="21"/>
                    </w:rPr>
                  </w:pPr>
                  <w:r>
                    <w:rPr>
                      <w:rFonts w:ascii="Times New Roman" w:hAnsi="Times New Roman"/>
                      <w:szCs w:val="21"/>
                    </w:rPr>
                    <w:t>4.0</w:t>
                  </w:r>
                </w:p>
              </w:tc>
              <w:tc>
                <w:tcPr>
                  <w:tcW w:w="1471" w:type="dxa"/>
                  <w:vAlign w:val="center"/>
                </w:tcPr>
                <w:p>
                  <w:pPr>
                    <w:pStyle w:val="63"/>
                  </w:pPr>
                  <w:r>
                    <w:t>468.55 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112" w:type="dxa"/>
                  <w:gridSpan w:val="8"/>
                  <w:vAlign w:val="center"/>
                </w:tcPr>
                <w:p>
                  <w:pPr>
                    <w:spacing w:line="300" w:lineRule="auto"/>
                    <w:jc w:val="center"/>
                    <w:rPr>
                      <w:rFonts w:ascii="Times New Roman" w:hAnsi="Times New Roman"/>
                      <w:szCs w:val="21"/>
                    </w:rPr>
                  </w:pPr>
                  <w:r>
                    <w:rPr>
                      <w:rFonts w:ascii="Times New Roman" w:hAnsi="Times New Roman"/>
                      <w:szCs w:val="21"/>
                    </w:rPr>
                    <w:t>无组织排放总计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390" w:type="dxa"/>
                  <w:gridSpan w:val="4"/>
                  <w:vAlign w:val="center"/>
                </w:tcPr>
                <w:p>
                  <w:pPr>
                    <w:spacing w:line="300" w:lineRule="auto"/>
                    <w:jc w:val="center"/>
                    <w:rPr>
                      <w:rFonts w:ascii="Times New Roman" w:hAnsi="Times New Roman"/>
                      <w:szCs w:val="21"/>
                    </w:rPr>
                  </w:pPr>
                  <w:r>
                    <w:rPr>
                      <w:rFonts w:ascii="Times New Roman" w:hAnsi="Times New Roman"/>
                      <w:szCs w:val="21"/>
                    </w:rPr>
                    <w:t>无组织排放总计</w:t>
                  </w:r>
                </w:p>
              </w:tc>
              <w:tc>
                <w:tcPr>
                  <w:tcW w:w="4251" w:type="dxa"/>
                  <w:gridSpan w:val="3"/>
                  <w:vAlign w:val="center"/>
                </w:tcPr>
                <w:p>
                  <w:pPr>
                    <w:pStyle w:val="63"/>
                  </w:pPr>
                  <w:r>
                    <w:t>非甲烷总烃</w:t>
                  </w:r>
                </w:p>
              </w:tc>
              <w:tc>
                <w:tcPr>
                  <w:tcW w:w="1471" w:type="dxa"/>
                  <w:vAlign w:val="center"/>
                </w:tcPr>
                <w:p>
                  <w:pPr>
                    <w:pStyle w:val="63"/>
                  </w:pPr>
                  <w:r>
                    <w:t>468.55 kg/a</w:t>
                  </w:r>
                </w:p>
              </w:tc>
            </w:tr>
          </w:tbl>
          <w:p>
            <w:pPr>
              <w:spacing w:line="360" w:lineRule="auto"/>
              <w:ind w:firstLine="560" w:firstLineChars="200"/>
              <w:rPr>
                <w:rFonts w:ascii="Times New Roman" w:hAnsi="Times New Roman"/>
                <w:sz w:val="28"/>
                <w:szCs w:val="28"/>
              </w:rPr>
            </w:pPr>
            <w:r>
              <w:rPr>
                <w:rFonts w:ascii="Times New Roman" w:hAnsi="Times New Roman"/>
                <w:sz w:val="28"/>
                <w:szCs w:val="28"/>
              </w:rPr>
              <w:t>b 项目大气污染物年排放量核算</w:t>
            </w:r>
          </w:p>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41</w:t>
            </w:r>
            <w:r>
              <w:rPr>
                <w:rFonts w:ascii="Times New Roman" w:hAnsi="Times New Roman"/>
                <w:b/>
                <w:sz w:val="24"/>
              </w:rPr>
              <w:t xml:space="preserve">   大气污染物年排放量核算表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3041"/>
              <w:gridCol w:w="304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tcPr>
                <w:p>
                  <w:pPr>
                    <w:spacing w:line="300" w:lineRule="auto"/>
                    <w:jc w:val="center"/>
                    <w:rPr>
                      <w:rFonts w:ascii="Times New Roman" w:hAnsi="Times New Roman"/>
                      <w:szCs w:val="21"/>
                    </w:rPr>
                  </w:pPr>
                  <w:r>
                    <w:rPr>
                      <w:rFonts w:ascii="Times New Roman" w:hAnsi="Times New Roman"/>
                      <w:szCs w:val="21"/>
                    </w:rPr>
                    <w:t>序号</w:t>
                  </w:r>
                </w:p>
              </w:tc>
              <w:tc>
                <w:tcPr>
                  <w:tcW w:w="1667" w:type="pct"/>
                </w:tcPr>
                <w:p>
                  <w:pPr>
                    <w:spacing w:line="300" w:lineRule="auto"/>
                    <w:jc w:val="center"/>
                    <w:rPr>
                      <w:rFonts w:ascii="Times New Roman" w:hAnsi="Times New Roman"/>
                      <w:szCs w:val="21"/>
                    </w:rPr>
                  </w:pPr>
                  <w:r>
                    <w:rPr>
                      <w:rFonts w:ascii="Times New Roman" w:hAnsi="Times New Roman"/>
                      <w:szCs w:val="21"/>
                    </w:rPr>
                    <w:t>污染物</w:t>
                  </w:r>
                </w:p>
              </w:tc>
              <w:tc>
                <w:tcPr>
                  <w:tcW w:w="1667" w:type="pct"/>
                </w:tcPr>
                <w:p>
                  <w:pPr>
                    <w:spacing w:line="300" w:lineRule="auto"/>
                    <w:jc w:val="center"/>
                    <w:rPr>
                      <w:rFonts w:ascii="Times New Roman" w:hAnsi="Times New Roman"/>
                      <w:szCs w:val="21"/>
                    </w:rPr>
                  </w:pPr>
                  <w:r>
                    <w:rPr>
                      <w:rFonts w:ascii="Times New Roman" w:hAnsi="Times New Roman"/>
                      <w:szCs w:val="21"/>
                    </w:rPr>
                    <w:t>年排放量/（t/a）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tcPr>
                <w:p>
                  <w:pPr>
                    <w:spacing w:line="300" w:lineRule="auto"/>
                    <w:jc w:val="center"/>
                    <w:rPr>
                      <w:rFonts w:ascii="Times New Roman" w:hAnsi="Times New Roman"/>
                      <w:szCs w:val="21"/>
                    </w:rPr>
                  </w:pPr>
                  <w:r>
                    <w:rPr>
                      <w:rFonts w:ascii="Times New Roman" w:hAnsi="Times New Roman"/>
                      <w:szCs w:val="21"/>
                    </w:rPr>
                    <w:t>1</w:t>
                  </w:r>
                </w:p>
              </w:tc>
              <w:tc>
                <w:tcPr>
                  <w:tcW w:w="1667" w:type="pct"/>
                  <w:vAlign w:val="center"/>
                </w:tcPr>
                <w:p>
                  <w:pPr>
                    <w:spacing w:line="300" w:lineRule="auto"/>
                    <w:jc w:val="center"/>
                    <w:rPr>
                      <w:rFonts w:ascii="Times New Roman" w:hAnsi="Times New Roman"/>
                      <w:szCs w:val="21"/>
                    </w:rPr>
                  </w:pPr>
                  <w:r>
                    <w:rPr>
                      <w:rFonts w:hint="eastAsia" w:ascii="Times New Roman" w:hAnsi="Times New Roman"/>
                      <w:szCs w:val="21"/>
                    </w:rPr>
                    <w:t>非甲烷总烃</w:t>
                  </w:r>
                </w:p>
              </w:tc>
              <w:tc>
                <w:tcPr>
                  <w:tcW w:w="1667" w:type="pct"/>
                  <w:vAlign w:val="center"/>
                </w:tcPr>
                <w:p>
                  <w:pPr>
                    <w:spacing w:line="300" w:lineRule="auto"/>
                    <w:jc w:val="center"/>
                    <w:rPr>
                      <w:rFonts w:ascii="Times New Roman" w:hAnsi="Times New Roman"/>
                      <w:szCs w:val="21"/>
                    </w:rPr>
                  </w:pPr>
                  <w:r>
                    <w:rPr>
                      <w:rFonts w:ascii="Times New Roman" w:hAnsi="Times New Roman"/>
                      <w:szCs w:val="21"/>
                    </w:rPr>
                    <w:t>468.55 kg/a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6" w:type="pct"/>
                </w:tcPr>
                <w:p>
                  <w:pPr>
                    <w:spacing w:line="300" w:lineRule="auto"/>
                    <w:jc w:val="center"/>
                    <w:rPr>
                      <w:rFonts w:ascii="Times New Roman" w:hAnsi="Times New Roman"/>
                      <w:szCs w:val="21"/>
                    </w:rPr>
                  </w:pPr>
                  <w:r>
                    <w:rPr>
                      <w:rFonts w:hint="eastAsia" w:ascii="Times New Roman" w:hAnsi="Times New Roman"/>
                      <w:szCs w:val="21"/>
                    </w:rPr>
                    <w:t>2</w:t>
                  </w:r>
                </w:p>
              </w:tc>
              <w:tc>
                <w:tcPr>
                  <w:tcW w:w="1667" w:type="pct"/>
                  <w:vAlign w:val="center"/>
                </w:tcPr>
                <w:p>
                  <w:pPr>
                    <w:spacing w:line="300" w:lineRule="auto"/>
                    <w:jc w:val="center"/>
                    <w:rPr>
                      <w:rFonts w:ascii="Times New Roman" w:hAnsi="Times New Roman"/>
                      <w:szCs w:val="21"/>
                    </w:rPr>
                  </w:pPr>
                  <w:r>
                    <w:rPr>
                      <w:rFonts w:hint="eastAsia" w:ascii="Times New Roman" w:hAnsi="Times New Roman"/>
                      <w:szCs w:val="21"/>
                    </w:rPr>
                    <w:t>油烟</w:t>
                  </w:r>
                </w:p>
              </w:tc>
              <w:tc>
                <w:tcPr>
                  <w:tcW w:w="1667" w:type="pct"/>
                  <w:vAlign w:val="center"/>
                </w:tcPr>
                <w:p>
                  <w:pPr>
                    <w:spacing w:line="300" w:lineRule="auto"/>
                    <w:jc w:val="center"/>
                    <w:rPr>
                      <w:rFonts w:ascii="Times New Roman" w:hAnsi="Times New Roman"/>
                      <w:szCs w:val="21"/>
                    </w:rPr>
                  </w:pPr>
                  <w:r>
                    <w:rPr>
                      <w:rFonts w:ascii="Times New Roman" w:hAnsi="Times New Roman"/>
                      <w:szCs w:val="21"/>
                    </w:rPr>
                    <w:t>0.70 kg/a</w:t>
                  </w:r>
                </w:p>
              </w:tc>
            </w:tr>
          </w:tbl>
          <w:p>
            <w:pPr>
              <w:spacing w:line="360" w:lineRule="auto"/>
              <w:ind w:firstLine="560" w:firstLineChars="200"/>
              <w:rPr>
                <w:rFonts w:ascii="Times New Roman" w:hAnsi="Times New Roman"/>
                <w:sz w:val="28"/>
                <w:szCs w:val="28"/>
              </w:rPr>
            </w:pPr>
            <w:r>
              <w:rPr>
                <w:rFonts w:ascii="Times New Roman" w:hAnsi="Times New Roman"/>
                <w:sz w:val="28"/>
                <w:szCs w:val="28"/>
              </w:rPr>
              <w:t>c 非正常排放量核算</w:t>
            </w:r>
          </w:p>
          <w:p>
            <w:pPr>
              <w:spacing w:line="360" w:lineRule="auto"/>
              <w:jc w:val="center"/>
              <w:rPr>
                <w:rFonts w:ascii="Times New Roman" w:hAnsi="Times New Roman"/>
                <w:b/>
                <w:sz w:val="24"/>
              </w:rPr>
            </w:pPr>
            <w:r>
              <w:rPr>
                <w:rFonts w:ascii="Times New Roman" w:hAnsi="Times New Roman"/>
                <w:b/>
                <w:sz w:val="24"/>
              </w:rPr>
              <w:t>表</w:t>
            </w:r>
            <w:r>
              <w:rPr>
                <w:rFonts w:hint="eastAsia" w:ascii="Times New Roman" w:hAnsi="Times New Roman"/>
                <w:b/>
                <w:sz w:val="24"/>
              </w:rPr>
              <w:t>42</w:t>
            </w:r>
            <w:r>
              <w:rPr>
                <w:rFonts w:ascii="Times New Roman" w:hAnsi="Times New Roman"/>
                <w:b/>
                <w:sz w:val="24"/>
              </w:rPr>
              <w:t xml:space="preserve">     污染源非正常排放量核算表</w:t>
            </w:r>
          </w:p>
          <w:tbl>
            <w:tblPr>
              <w:tblStyle w:val="26"/>
              <w:tblW w:w="5000"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493"/>
              <w:gridCol w:w="912"/>
              <w:gridCol w:w="1122"/>
              <w:gridCol w:w="850"/>
              <w:gridCol w:w="1525"/>
              <w:gridCol w:w="1359"/>
              <w:gridCol w:w="1016"/>
              <w:gridCol w:w="1109"/>
              <w:gridCol w:w="73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270" w:type="pct"/>
                  <w:vAlign w:val="center"/>
                </w:tcPr>
                <w:p>
                  <w:pPr>
                    <w:spacing w:line="300" w:lineRule="auto"/>
                    <w:jc w:val="center"/>
                    <w:rPr>
                      <w:rFonts w:ascii="Times New Roman" w:hAnsi="Times New Roman"/>
                      <w:szCs w:val="21"/>
                    </w:rPr>
                  </w:pPr>
                  <w:r>
                    <w:rPr>
                      <w:rFonts w:ascii="Times New Roman" w:hAnsi="Times New Roman"/>
                      <w:szCs w:val="21"/>
                    </w:rPr>
                    <w:t>序号</w:t>
                  </w:r>
                </w:p>
              </w:tc>
              <w:tc>
                <w:tcPr>
                  <w:tcW w:w="500" w:type="pct"/>
                  <w:vAlign w:val="center"/>
                </w:tcPr>
                <w:p>
                  <w:pPr>
                    <w:spacing w:line="300" w:lineRule="auto"/>
                    <w:jc w:val="center"/>
                    <w:rPr>
                      <w:rFonts w:ascii="Times New Roman" w:hAnsi="Times New Roman"/>
                      <w:szCs w:val="21"/>
                    </w:rPr>
                  </w:pPr>
                  <w:r>
                    <w:rPr>
                      <w:rFonts w:ascii="Times New Roman" w:hAnsi="Times New Roman"/>
                      <w:szCs w:val="21"/>
                    </w:rPr>
                    <w:t>污染源</w:t>
                  </w:r>
                </w:p>
              </w:tc>
              <w:tc>
                <w:tcPr>
                  <w:tcW w:w="615" w:type="pct"/>
                  <w:vAlign w:val="center"/>
                </w:tcPr>
                <w:p>
                  <w:pPr>
                    <w:spacing w:line="300" w:lineRule="auto"/>
                    <w:jc w:val="center"/>
                    <w:rPr>
                      <w:rFonts w:ascii="Times New Roman" w:hAnsi="Times New Roman"/>
                      <w:szCs w:val="21"/>
                    </w:rPr>
                  </w:pPr>
                  <w:r>
                    <w:rPr>
                      <w:rFonts w:ascii="Times New Roman" w:hAnsi="Times New Roman"/>
                      <w:szCs w:val="21"/>
                    </w:rPr>
                    <w:t>非正常排放原因</w:t>
                  </w:r>
                </w:p>
              </w:tc>
              <w:tc>
                <w:tcPr>
                  <w:tcW w:w="466" w:type="pct"/>
                  <w:vAlign w:val="center"/>
                </w:tcPr>
                <w:p>
                  <w:pPr>
                    <w:spacing w:line="300" w:lineRule="auto"/>
                    <w:jc w:val="center"/>
                    <w:rPr>
                      <w:rFonts w:ascii="Times New Roman" w:hAnsi="Times New Roman"/>
                      <w:szCs w:val="21"/>
                    </w:rPr>
                  </w:pPr>
                  <w:r>
                    <w:rPr>
                      <w:rFonts w:ascii="Times New Roman" w:hAnsi="Times New Roman"/>
                      <w:szCs w:val="21"/>
                    </w:rPr>
                    <w:t>污染物</w:t>
                  </w:r>
                </w:p>
              </w:tc>
              <w:tc>
                <w:tcPr>
                  <w:tcW w:w="836" w:type="pct"/>
                  <w:vAlign w:val="center"/>
                </w:tcPr>
                <w:p>
                  <w:pPr>
                    <w:spacing w:line="300" w:lineRule="auto"/>
                    <w:jc w:val="center"/>
                    <w:rPr>
                      <w:rFonts w:ascii="Times New Roman" w:hAnsi="Times New Roman"/>
                      <w:szCs w:val="21"/>
                    </w:rPr>
                  </w:pPr>
                  <w:r>
                    <w:rPr>
                      <w:rFonts w:ascii="Times New Roman" w:hAnsi="Times New Roman"/>
                      <w:szCs w:val="21"/>
                    </w:rPr>
                    <w:t>非正常排放浓度/(mg/m</w:t>
                  </w:r>
                  <w:r>
                    <w:rPr>
                      <w:rFonts w:ascii="Times New Roman" w:hAnsi="Times New Roman"/>
                      <w:szCs w:val="21"/>
                      <w:vertAlign w:val="superscript"/>
                    </w:rPr>
                    <w:t>3</w:t>
                  </w:r>
                  <w:r>
                    <w:rPr>
                      <w:rFonts w:ascii="Times New Roman" w:hAnsi="Times New Roman"/>
                      <w:szCs w:val="21"/>
                    </w:rPr>
                    <w:t>)</w:t>
                  </w:r>
                </w:p>
              </w:tc>
              <w:tc>
                <w:tcPr>
                  <w:tcW w:w="745" w:type="pct"/>
                  <w:vAlign w:val="center"/>
                </w:tcPr>
                <w:p>
                  <w:pPr>
                    <w:spacing w:line="300" w:lineRule="auto"/>
                    <w:jc w:val="center"/>
                    <w:rPr>
                      <w:rFonts w:ascii="Times New Roman" w:hAnsi="Times New Roman"/>
                      <w:szCs w:val="21"/>
                    </w:rPr>
                  </w:pPr>
                  <w:r>
                    <w:rPr>
                      <w:rFonts w:ascii="Times New Roman" w:hAnsi="Times New Roman"/>
                      <w:szCs w:val="21"/>
                    </w:rPr>
                    <w:t>非正常排放速率/(kg/h）</w:t>
                  </w:r>
                </w:p>
              </w:tc>
              <w:tc>
                <w:tcPr>
                  <w:tcW w:w="557" w:type="pct"/>
                  <w:vAlign w:val="center"/>
                </w:tcPr>
                <w:p>
                  <w:pPr>
                    <w:spacing w:line="300" w:lineRule="auto"/>
                    <w:jc w:val="center"/>
                    <w:rPr>
                      <w:rFonts w:ascii="Times New Roman" w:hAnsi="Times New Roman"/>
                      <w:szCs w:val="21"/>
                    </w:rPr>
                  </w:pPr>
                  <w:r>
                    <w:rPr>
                      <w:rFonts w:ascii="Times New Roman" w:hAnsi="Times New Roman"/>
                      <w:szCs w:val="21"/>
                    </w:rPr>
                    <w:t>单次持续时间/h</w:t>
                  </w:r>
                </w:p>
              </w:tc>
              <w:tc>
                <w:tcPr>
                  <w:tcW w:w="608" w:type="pct"/>
                  <w:vAlign w:val="center"/>
                </w:tcPr>
                <w:p>
                  <w:pPr>
                    <w:spacing w:line="300" w:lineRule="auto"/>
                    <w:jc w:val="center"/>
                    <w:rPr>
                      <w:rFonts w:ascii="Times New Roman" w:hAnsi="Times New Roman"/>
                      <w:szCs w:val="21"/>
                    </w:rPr>
                  </w:pPr>
                  <w:r>
                    <w:rPr>
                      <w:rFonts w:ascii="Times New Roman" w:hAnsi="Times New Roman"/>
                      <w:szCs w:val="21"/>
                    </w:rPr>
                    <w:t>年发生频次/次</w:t>
                  </w:r>
                </w:p>
              </w:tc>
              <w:tc>
                <w:tcPr>
                  <w:tcW w:w="403" w:type="pct"/>
                  <w:vAlign w:val="center"/>
                </w:tcPr>
                <w:p>
                  <w:pPr>
                    <w:spacing w:line="300" w:lineRule="auto"/>
                    <w:jc w:val="center"/>
                    <w:rPr>
                      <w:rFonts w:ascii="Times New Roman" w:hAnsi="Times New Roman"/>
                      <w:szCs w:val="21"/>
                    </w:rPr>
                  </w:pPr>
                  <w:r>
                    <w:rPr>
                      <w:rFonts w:ascii="Times New Roman" w:hAnsi="Times New Roman"/>
                      <w:szCs w:val="21"/>
                    </w:rPr>
                    <w:t>应对</w:t>
                  </w:r>
                </w:p>
                <w:p>
                  <w:pPr>
                    <w:spacing w:line="300" w:lineRule="auto"/>
                    <w:jc w:val="center"/>
                    <w:rPr>
                      <w:rFonts w:ascii="Times New Roman" w:hAnsi="Times New Roman"/>
                      <w:szCs w:val="21"/>
                    </w:rPr>
                  </w:pPr>
                  <w:r>
                    <w:rPr>
                      <w:rFonts w:ascii="Times New Roman" w:hAnsi="Times New Roman"/>
                      <w:szCs w:val="21"/>
                    </w:rPr>
                    <w:t>措施</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270" w:type="pct"/>
                  <w:vAlign w:val="center"/>
                </w:tcPr>
                <w:p>
                  <w:pPr>
                    <w:spacing w:line="300" w:lineRule="auto"/>
                    <w:jc w:val="center"/>
                    <w:rPr>
                      <w:rFonts w:ascii="Times New Roman" w:hAnsi="Times New Roman"/>
                      <w:szCs w:val="21"/>
                    </w:rPr>
                  </w:pPr>
                  <w:r>
                    <w:rPr>
                      <w:rFonts w:ascii="Times New Roman" w:hAnsi="Times New Roman"/>
                      <w:szCs w:val="21"/>
                    </w:rPr>
                    <w:t>1</w:t>
                  </w:r>
                </w:p>
              </w:tc>
              <w:tc>
                <w:tcPr>
                  <w:tcW w:w="500" w:type="pct"/>
                  <w:vAlign w:val="center"/>
                </w:tcPr>
                <w:p>
                  <w:pPr>
                    <w:spacing w:line="300" w:lineRule="auto"/>
                    <w:jc w:val="center"/>
                    <w:rPr>
                      <w:rFonts w:ascii="Times New Roman" w:hAnsi="Times New Roman"/>
                      <w:szCs w:val="21"/>
                    </w:rPr>
                  </w:pPr>
                  <w:r>
                    <w:rPr>
                      <w:rFonts w:ascii="Times New Roman" w:hAnsi="Times New Roman"/>
                      <w:szCs w:val="21"/>
                    </w:rPr>
                    <w:t>厂区非甲烷总烃排放</w:t>
                  </w:r>
                </w:p>
              </w:tc>
              <w:tc>
                <w:tcPr>
                  <w:tcW w:w="615" w:type="pct"/>
                  <w:vAlign w:val="center"/>
                </w:tcPr>
                <w:p>
                  <w:pPr>
                    <w:spacing w:line="300" w:lineRule="auto"/>
                    <w:jc w:val="center"/>
                    <w:rPr>
                      <w:rFonts w:ascii="Times New Roman" w:hAnsi="Times New Roman"/>
                      <w:szCs w:val="21"/>
                    </w:rPr>
                  </w:pPr>
                  <w:r>
                    <w:rPr>
                      <w:rFonts w:ascii="Times New Roman" w:hAnsi="Times New Roman"/>
                      <w:szCs w:val="21"/>
                    </w:rPr>
                    <w:t>油气回收系统失效</w:t>
                  </w:r>
                </w:p>
              </w:tc>
              <w:tc>
                <w:tcPr>
                  <w:tcW w:w="466" w:type="pct"/>
                  <w:vAlign w:val="center"/>
                </w:tcPr>
                <w:p>
                  <w:pPr>
                    <w:spacing w:line="300" w:lineRule="auto"/>
                    <w:jc w:val="center"/>
                    <w:rPr>
                      <w:rFonts w:ascii="Times New Roman" w:hAnsi="Times New Roman"/>
                      <w:szCs w:val="21"/>
                    </w:rPr>
                  </w:pPr>
                  <w:r>
                    <w:rPr>
                      <w:rFonts w:ascii="Times New Roman" w:hAnsi="Times New Roman"/>
                      <w:szCs w:val="21"/>
                    </w:rPr>
                    <w:t>非甲烷总烃</w:t>
                  </w:r>
                </w:p>
              </w:tc>
              <w:tc>
                <w:tcPr>
                  <w:tcW w:w="836" w:type="pct"/>
                  <w:vAlign w:val="center"/>
                </w:tcPr>
                <w:p>
                  <w:pPr>
                    <w:spacing w:line="300" w:lineRule="auto"/>
                    <w:jc w:val="center"/>
                    <w:rPr>
                      <w:rFonts w:ascii="Times New Roman" w:hAnsi="Times New Roman"/>
                      <w:bCs/>
                      <w:szCs w:val="21"/>
                    </w:rPr>
                  </w:pPr>
                  <w:r>
                    <w:rPr>
                      <w:rFonts w:ascii="Times New Roman" w:hAnsi="Times New Roman"/>
                      <w:bCs/>
                      <w:szCs w:val="21"/>
                    </w:rPr>
                    <w:t>/</w:t>
                  </w:r>
                </w:p>
              </w:tc>
              <w:tc>
                <w:tcPr>
                  <w:tcW w:w="745" w:type="pct"/>
                  <w:vAlign w:val="center"/>
                </w:tcPr>
                <w:p>
                  <w:pPr>
                    <w:spacing w:line="300" w:lineRule="auto"/>
                    <w:jc w:val="center"/>
                    <w:rPr>
                      <w:rFonts w:ascii="Times New Roman" w:hAnsi="Times New Roman"/>
                      <w:bCs/>
                      <w:szCs w:val="21"/>
                    </w:rPr>
                  </w:pPr>
                  <w:r>
                    <w:rPr>
                      <w:rFonts w:hint="eastAsia" w:ascii="Times New Roman" w:hAnsi="Times New Roman"/>
                      <w:bCs/>
                      <w:szCs w:val="21"/>
                    </w:rPr>
                    <w:t>0.46</w:t>
                  </w:r>
                </w:p>
              </w:tc>
              <w:tc>
                <w:tcPr>
                  <w:tcW w:w="557" w:type="pct"/>
                  <w:vAlign w:val="center"/>
                </w:tcPr>
                <w:p>
                  <w:pPr>
                    <w:spacing w:line="300" w:lineRule="auto"/>
                    <w:jc w:val="center"/>
                    <w:rPr>
                      <w:rFonts w:ascii="Times New Roman" w:hAnsi="Times New Roman"/>
                      <w:szCs w:val="21"/>
                    </w:rPr>
                  </w:pPr>
                  <w:r>
                    <w:rPr>
                      <w:rFonts w:ascii="Times New Roman" w:hAnsi="Times New Roman"/>
                      <w:szCs w:val="21"/>
                    </w:rPr>
                    <w:t>1</w:t>
                  </w:r>
                </w:p>
              </w:tc>
              <w:tc>
                <w:tcPr>
                  <w:tcW w:w="608" w:type="pct"/>
                  <w:vAlign w:val="center"/>
                </w:tcPr>
                <w:p>
                  <w:pPr>
                    <w:spacing w:line="300" w:lineRule="auto"/>
                    <w:jc w:val="center"/>
                    <w:rPr>
                      <w:rFonts w:ascii="Times New Roman" w:hAnsi="Times New Roman"/>
                      <w:szCs w:val="21"/>
                    </w:rPr>
                  </w:pPr>
                  <w:r>
                    <w:rPr>
                      <w:rFonts w:ascii="Times New Roman" w:hAnsi="Times New Roman"/>
                      <w:szCs w:val="21"/>
                    </w:rPr>
                    <w:t>0.1</w:t>
                  </w:r>
                </w:p>
              </w:tc>
              <w:tc>
                <w:tcPr>
                  <w:tcW w:w="403" w:type="pct"/>
                  <w:vAlign w:val="center"/>
                </w:tcPr>
                <w:p>
                  <w:pPr>
                    <w:spacing w:line="300" w:lineRule="auto"/>
                    <w:jc w:val="center"/>
                    <w:rPr>
                      <w:rFonts w:ascii="Times New Roman" w:hAnsi="Times New Roman"/>
                      <w:szCs w:val="21"/>
                    </w:rPr>
                  </w:pPr>
                  <w:r>
                    <w:rPr>
                      <w:rFonts w:ascii="Times New Roman" w:hAnsi="Times New Roman"/>
                      <w:szCs w:val="21"/>
                    </w:rPr>
                    <w:t>停机</w:t>
                  </w:r>
                </w:p>
                <w:p>
                  <w:pPr>
                    <w:spacing w:line="300" w:lineRule="auto"/>
                    <w:jc w:val="center"/>
                    <w:rPr>
                      <w:rFonts w:ascii="Times New Roman" w:hAnsi="Times New Roman"/>
                      <w:szCs w:val="21"/>
                    </w:rPr>
                  </w:pPr>
                  <w:r>
                    <w:rPr>
                      <w:rFonts w:ascii="Times New Roman" w:hAnsi="Times New Roman"/>
                      <w:szCs w:val="21"/>
                    </w:rPr>
                    <w:t>维修</w:t>
                  </w:r>
                </w:p>
              </w:tc>
            </w:tr>
          </w:tbl>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d</w:t>
            </w:r>
            <w:r>
              <w:rPr>
                <w:rFonts w:ascii="Times New Roman" w:hAnsi="Times New Roman" w:eastAsiaTheme="minorEastAsia"/>
                <w:sz w:val="28"/>
                <w:szCs w:val="28"/>
              </w:rPr>
              <w:t xml:space="preserve"> 大气防护距离</w:t>
            </w:r>
          </w:p>
          <w:p>
            <w:pPr>
              <w:spacing w:line="360" w:lineRule="auto"/>
              <w:ind w:firstLine="618" w:firstLineChars="221"/>
              <w:rPr>
                <w:rFonts w:ascii="Times New Roman" w:hAnsi="Times New Roman"/>
                <w:sz w:val="28"/>
                <w:szCs w:val="28"/>
                <w:highlight w:val="yellow"/>
              </w:rPr>
            </w:pPr>
            <w:r>
              <w:rPr>
                <w:rFonts w:hint="eastAsia" w:ascii="Times New Roman" w:hAnsi="Times New Roman"/>
                <w:sz w:val="28"/>
                <w:szCs w:val="28"/>
              </w:rPr>
              <w:t>根据《环境影响评价技术导则 大气环境》（HJ2.2-2018）中“评价等级判定及大气环境影响预测与评价”的要求，以项目排放的非甲烷总烃为污染源，经估算模型计算，评价工作等级为二级，不进行进一步预测与评价，项目不设置大气环境防护距离。</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④</w:t>
            </w:r>
            <w:r>
              <w:rPr>
                <w:rFonts w:ascii="Times New Roman" w:hAnsi="Times New Roman"/>
                <w:sz w:val="28"/>
                <w:szCs w:val="28"/>
              </w:rPr>
              <w:t xml:space="preserve"> 小结</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项目位于环境质量不达标区，评价范围内无一类区。大气环境影响评价结果如下：</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① 新增污染物正常排放下非甲烷总烃短期浓度贡献值最大浓度占标率均小于100%；</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② 非正常工况下，非甲烷总烃短期浓度贡献值最大浓度占标率最大</w:t>
            </w:r>
            <w:r>
              <w:rPr>
                <w:rFonts w:ascii="Times New Roman" w:hAnsi="Times New Roman" w:eastAsiaTheme="minorEastAsia"/>
                <w:sz w:val="28"/>
                <w:szCs w:val="28"/>
              </w:rPr>
              <w:t>45.02</w:t>
            </w:r>
            <w:r>
              <w:rPr>
                <w:rFonts w:hint="eastAsia" w:ascii="Times New Roman" w:hAnsi="Times New Roman" w:eastAsiaTheme="minorEastAsia"/>
                <w:sz w:val="28"/>
                <w:szCs w:val="28"/>
              </w:rPr>
              <w:t>%。应立即停车检修。</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③ 本项目不设置大气环境防护距离。</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综上所述，本项目建成后，大气环境影响可接受，项目大气污染物排放方案可行。</w:t>
            </w:r>
          </w:p>
          <w:p>
            <w:pPr>
              <w:spacing w:line="360" w:lineRule="auto"/>
              <w:ind w:firstLine="560" w:firstLineChars="200"/>
              <w:rPr>
                <w:rFonts w:ascii="Times New Roman" w:hAnsi="Times New Roman"/>
                <w:b/>
                <w:sz w:val="28"/>
                <w:szCs w:val="28"/>
              </w:rPr>
            </w:pPr>
            <w:r>
              <w:rPr>
                <w:rFonts w:ascii="Times New Roman" w:hAnsi="Times New Roman"/>
                <w:b/>
                <w:sz w:val="28"/>
                <w:szCs w:val="28"/>
              </w:rPr>
              <w:t>2 水环境影响分析</w:t>
            </w:r>
          </w:p>
          <w:p>
            <w:pPr>
              <w:spacing w:line="360" w:lineRule="auto"/>
              <w:ind w:firstLine="560" w:firstLineChars="200"/>
              <w:rPr>
                <w:rFonts w:ascii="Times New Roman" w:hAnsi="Times New Roman"/>
                <w:sz w:val="28"/>
                <w:szCs w:val="28"/>
              </w:rPr>
            </w:pPr>
            <w:r>
              <w:rPr>
                <w:rFonts w:ascii="Times New Roman" w:hAnsi="Times New Roman"/>
                <w:sz w:val="28"/>
                <w:szCs w:val="28"/>
              </w:rPr>
              <w:t>（1） 地表水环境影响分析</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根据《环境影响评价技术导则 地表水环境》 (HJ2.3-2018)第 5.2 条表 1 中所列出的地表水环境影响评价等级分级判据标准，本项目运营过程中无生产废水产生，产生的生活污水经防渗旱厕收集，清掏后用于堆肥，不排放到外环境，则本项目按三级 B 评价。因此，本次环评地表水仅做一般性环境影响评价分析。</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生活污水经防渗旱厕收集清掏后交由附近农民作为堆肥原料使用，不排放到外环境。综上，项目运营期生活废水能得到综合利用，本项目废水排放不会对周围地表水环境造成影响。</w:t>
            </w:r>
          </w:p>
          <w:p>
            <w:pPr>
              <w:spacing w:line="360" w:lineRule="auto"/>
              <w:ind w:firstLine="560" w:firstLineChars="200"/>
              <w:rPr>
                <w:rFonts w:ascii="Times New Roman" w:hAnsi="Times New Roman"/>
                <w:sz w:val="28"/>
                <w:szCs w:val="28"/>
              </w:rPr>
            </w:pPr>
            <w:r>
              <w:rPr>
                <w:rFonts w:ascii="Times New Roman" w:hAnsi="Times New Roman"/>
                <w:sz w:val="28"/>
                <w:szCs w:val="28"/>
              </w:rPr>
              <w:t>（2） 地下水环境影响分析</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a、双层油罐对柴油和汽油进行存储，可有效防止泄漏。</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b、双层储罐拥有均匀的夹层空间并配有和夹层空间相通的泄漏检测仪，可自动监测內罐是否泄漏。</w:t>
            </w:r>
          </w:p>
          <w:p>
            <w:pPr>
              <w:spacing w:line="360" w:lineRule="auto"/>
              <w:ind w:firstLine="560" w:firstLineChars="200"/>
              <w:rPr>
                <w:rFonts w:ascii="Times New Roman" w:hAnsi="Times New Roman"/>
                <w:sz w:val="28"/>
                <w:szCs w:val="28"/>
              </w:rPr>
            </w:pPr>
            <w:r>
              <w:rPr>
                <w:rFonts w:ascii="Times New Roman" w:hAnsi="Times New Roman"/>
                <w:sz w:val="28"/>
                <w:szCs w:val="28"/>
              </w:rPr>
              <w:t>根据《环境影响评价技术导则地下水环境》（HJ610-2016），本项目为加油站属于地下水环境影响评价</w:t>
            </w:r>
            <w:r>
              <w:rPr>
                <w:rFonts w:hint="eastAsia" w:ascii="宋体" w:hAnsi="宋体" w:cs="宋体"/>
                <w:sz w:val="28"/>
                <w:szCs w:val="28"/>
              </w:rPr>
              <w:t>Ⅱ</w:t>
            </w:r>
            <w:r>
              <w:rPr>
                <w:rFonts w:ascii="Times New Roman" w:hAnsi="Times New Roman"/>
                <w:sz w:val="28"/>
                <w:szCs w:val="28"/>
              </w:rPr>
              <w:t>类项目，应该对地下水的影响进行详细评价，</w:t>
            </w:r>
            <w:r>
              <w:rPr>
                <w:rFonts w:hint="eastAsia" w:ascii="Times New Roman" w:hAnsi="Times New Roman"/>
                <w:sz w:val="28"/>
                <w:szCs w:val="28"/>
              </w:rPr>
              <w:t>确定为三级评价，</w:t>
            </w:r>
            <w:r>
              <w:rPr>
                <w:rFonts w:ascii="Times New Roman" w:hAnsi="Times New Roman"/>
                <w:sz w:val="28"/>
                <w:szCs w:val="28"/>
              </w:rPr>
              <w:t>详见地下水</w:t>
            </w:r>
            <w:r>
              <w:rPr>
                <w:rFonts w:hint="eastAsia" w:ascii="Times New Roman" w:hAnsi="Times New Roman"/>
                <w:sz w:val="28"/>
                <w:szCs w:val="28"/>
              </w:rPr>
              <w:t>专项</w:t>
            </w:r>
            <w:r>
              <w:rPr>
                <w:rFonts w:ascii="Times New Roman" w:hAnsi="Times New Roman"/>
                <w:sz w:val="28"/>
                <w:szCs w:val="28"/>
              </w:rPr>
              <w:t>评价。</w:t>
            </w:r>
          </w:p>
          <w:p>
            <w:pPr>
              <w:spacing w:line="360" w:lineRule="auto"/>
              <w:ind w:firstLine="560" w:firstLineChars="200"/>
              <w:rPr>
                <w:rFonts w:ascii="Times New Roman" w:hAnsi="Times New Roman"/>
                <w:b/>
                <w:sz w:val="28"/>
                <w:szCs w:val="28"/>
              </w:rPr>
            </w:pPr>
            <w:r>
              <w:rPr>
                <w:rFonts w:ascii="Times New Roman" w:hAnsi="Times New Roman"/>
                <w:b/>
                <w:sz w:val="28"/>
                <w:szCs w:val="28"/>
              </w:rPr>
              <w:t>3 声环境影响分析</w:t>
            </w:r>
          </w:p>
          <w:p>
            <w:pPr>
              <w:spacing w:line="360" w:lineRule="auto"/>
              <w:ind w:firstLine="560" w:firstLineChars="200"/>
              <w:rPr>
                <w:rFonts w:ascii="Times New Roman" w:hAnsi="Times New Roman"/>
                <w:sz w:val="28"/>
                <w:szCs w:val="28"/>
              </w:rPr>
            </w:pPr>
            <w:r>
              <w:rPr>
                <w:rFonts w:ascii="Times New Roman" w:hAnsi="Times New Roman"/>
                <w:sz w:val="28"/>
                <w:szCs w:val="28"/>
              </w:rPr>
              <w:t>加油站运行期间的噪声主要来自运行设备噪声及往来车辆噪声，为避免以上噪声对项目周边区域造成环境影响，建设单位应采取以下措施进行噪声控制。</w:t>
            </w:r>
          </w:p>
          <w:p>
            <w:pPr>
              <w:spacing w:line="360" w:lineRule="auto"/>
              <w:ind w:firstLine="560" w:firstLineChars="200"/>
              <w:rPr>
                <w:rFonts w:ascii="Times New Roman" w:hAnsi="Times New Roman"/>
                <w:sz w:val="28"/>
                <w:szCs w:val="28"/>
              </w:rPr>
            </w:pPr>
            <w:r>
              <w:rPr>
                <w:rFonts w:ascii="Times New Roman" w:hAnsi="Times New Roman"/>
                <w:sz w:val="28"/>
                <w:szCs w:val="28"/>
              </w:rPr>
              <w:t>（1） 在满足生产工艺要求的前提下，应选用先进的低噪音设备，以从声源上降低设备本身噪声；</w:t>
            </w:r>
          </w:p>
          <w:p>
            <w:pPr>
              <w:spacing w:line="360" w:lineRule="auto"/>
              <w:ind w:firstLine="560" w:firstLineChars="200"/>
              <w:rPr>
                <w:rFonts w:ascii="Times New Roman" w:hAnsi="Times New Roman"/>
                <w:sz w:val="28"/>
                <w:szCs w:val="28"/>
              </w:rPr>
            </w:pPr>
            <w:r>
              <w:rPr>
                <w:rFonts w:ascii="Times New Roman" w:hAnsi="Times New Roman"/>
                <w:sz w:val="28"/>
                <w:szCs w:val="28"/>
              </w:rPr>
              <w:t>（2） 泵类设备应按要求进行安装，做好动平衡，减少震动的发生；</w:t>
            </w:r>
          </w:p>
          <w:p>
            <w:pPr>
              <w:spacing w:line="360" w:lineRule="auto"/>
              <w:ind w:firstLine="560" w:firstLineChars="200"/>
              <w:rPr>
                <w:rFonts w:ascii="Times New Roman" w:hAnsi="Times New Roman"/>
                <w:sz w:val="28"/>
                <w:szCs w:val="28"/>
              </w:rPr>
            </w:pPr>
            <w:r>
              <w:rPr>
                <w:rFonts w:ascii="Times New Roman" w:hAnsi="Times New Roman"/>
                <w:sz w:val="28"/>
                <w:szCs w:val="28"/>
              </w:rPr>
              <w:t>（3） 应做好加油机的维修和保养工作，确保其处于良好的工作状态，从而降低噪声的产生；</w:t>
            </w:r>
          </w:p>
          <w:p>
            <w:pPr>
              <w:spacing w:line="360" w:lineRule="auto"/>
              <w:ind w:firstLine="560" w:firstLineChars="200"/>
              <w:rPr>
                <w:rFonts w:ascii="Times New Roman" w:hAnsi="Times New Roman"/>
                <w:sz w:val="28"/>
                <w:szCs w:val="28"/>
              </w:rPr>
            </w:pPr>
            <w:r>
              <w:rPr>
                <w:rFonts w:ascii="Times New Roman" w:hAnsi="Times New Roman"/>
                <w:sz w:val="28"/>
                <w:szCs w:val="28"/>
              </w:rPr>
              <w:t>（4） 加油站入口出应设置限速标志，使进出加油站的车辆减速慢行，从而降低交通噪声对周围环境产生的影响；</w:t>
            </w:r>
          </w:p>
          <w:p>
            <w:pPr>
              <w:spacing w:line="360" w:lineRule="auto"/>
              <w:ind w:firstLine="560" w:firstLineChars="200"/>
              <w:rPr>
                <w:rFonts w:ascii="Times New Roman" w:hAnsi="Times New Roman"/>
                <w:sz w:val="28"/>
                <w:szCs w:val="28"/>
              </w:rPr>
            </w:pPr>
            <w:r>
              <w:rPr>
                <w:rFonts w:ascii="Times New Roman" w:hAnsi="Times New Roman"/>
                <w:sz w:val="28"/>
                <w:szCs w:val="28"/>
              </w:rPr>
              <w:t>（5） 加油站要设置禁止鸣笛标识。</w:t>
            </w:r>
          </w:p>
          <w:p>
            <w:pPr>
              <w:spacing w:line="360" w:lineRule="auto"/>
              <w:ind w:firstLine="560" w:firstLineChars="200"/>
              <w:rPr>
                <w:rFonts w:ascii="Times New Roman" w:hAnsi="Times New Roman"/>
                <w:sz w:val="28"/>
                <w:szCs w:val="28"/>
              </w:rPr>
            </w:pPr>
            <w:r>
              <w:rPr>
                <w:rFonts w:ascii="Times New Roman" w:hAnsi="Times New Roman"/>
                <w:sz w:val="28"/>
                <w:szCs w:val="28"/>
              </w:rPr>
              <w:t>环境噪声影响预测如下所示。</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43  </w:t>
            </w:r>
            <w:r>
              <w:rPr>
                <w:rFonts w:ascii="Times New Roman" w:hAnsi="Times New Roman"/>
                <w:b/>
                <w:sz w:val="24"/>
                <w:szCs w:val="24"/>
              </w:rPr>
              <w:t xml:space="preserve">   噪声源源强及治理措施</w:t>
            </w:r>
          </w:p>
          <w:tbl>
            <w:tblPr>
              <w:tblStyle w:val="26"/>
              <w:tblW w:w="9173"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884"/>
              <w:gridCol w:w="817"/>
              <w:gridCol w:w="850"/>
              <w:gridCol w:w="851"/>
              <w:gridCol w:w="992"/>
              <w:gridCol w:w="1066"/>
              <w:gridCol w:w="918"/>
              <w:gridCol w:w="918"/>
              <w:gridCol w:w="91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工序/生产线</w:t>
                  </w:r>
                </w:p>
              </w:tc>
              <w:tc>
                <w:tcPr>
                  <w:tcW w:w="884"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装置</w:t>
                  </w:r>
                </w:p>
              </w:tc>
              <w:tc>
                <w:tcPr>
                  <w:tcW w:w="817"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噪声源</w:t>
                  </w:r>
                </w:p>
              </w:tc>
              <w:tc>
                <w:tcPr>
                  <w:tcW w:w="1701"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噪声源</w:t>
                  </w:r>
                </w:p>
              </w:tc>
              <w:tc>
                <w:tcPr>
                  <w:tcW w:w="2058"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降噪措施</w:t>
                  </w:r>
                </w:p>
              </w:tc>
              <w:tc>
                <w:tcPr>
                  <w:tcW w:w="1836"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噪声排放值</w:t>
                  </w:r>
                </w:p>
              </w:tc>
              <w:tc>
                <w:tcPr>
                  <w:tcW w:w="918"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持续时间/h</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pPr>
                    <w:spacing w:line="300" w:lineRule="auto"/>
                    <w:jc w:val="center"/>
                    <w:rPr>
                      <w:rFonts w:ascii="Times New Roman" w:hAnsi="Times New Roman" w:eastAsiaTheme="minorEastAsia"/>
                      <w:szCs w:val="21"/>
                      <w:lang w:val="en-GB"/>
                    </w:rPr>
                  </w:pPr>
                </w:p>
              </w:tc>
              <w:tc>
                <w:tcPr>
                  <w:tcW w:w="884" w:type="dxa"/>
                  <w:vMerge w:val="continue"/>
                  <w:vAlign w:val="center"/>
                </w:tcPr>
                <w:p>
                  <w:pPr>
                    <w:spacing w:line="300" w:lineRule="auto"/>
                    <w:jc w:val="center"/>
                    <w:rPr>
                      <w:rFonts w:ascii="Times New Roman" w:hAnsi="Times New Roman" w:eastAsiaTheme="minorEastAsia"/>
                      <w:szCs w:val="21"/>
                      <w:lang w:val="en-GB"/>
                    </w:rPr>
                  </w:pPr>
                </w:p>
              </w:tc>
              <w:tc>
                <w:tcPr>
                  <w:tcW w:w="817" w:type="dxa"/>
                  <w:vMerge w:val="continue"/>
                  <w:vAlign w:val="center"/>
                </w:tcPr>
                <w:p>
                  <w:pPr>
                    <w:spacing w:line="300" w:lineRule="auto"/>
                    <w:jc w:val="center"/>
                    <w:rPr>
                      <w:rFonts w:ascii="Times New Roman" w:hAnsi="Times New Roman" w:eastAsiaTheme="minorEastAsia"/>
                      <w:szCs w:val="21"/>
                      <w:lang w:val="en-GB"/>
                    </w:rPr>
                  </w:pP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核算</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方法</w:t>
                  </w:r>
                </w:p>
              </w:tc>
              <w:tc>
                <w:tcPr>
                  <w:tcW w:w="851"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噪声值</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dB(A)</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工艺</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降噪效果</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dB</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核算方法</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噪声值</w:t>
                  </w:r>
                </w:p>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dB(A)</w:t>
                  </w:r>
                </w:p>
              </w:tc>
              <w:tc>
                <w:tcPr>
                  <w:tcW w:w="918" w:type="dxa"/>
                  <w:vMerge w:val="continue"/>
                  <w:vAlign w:val="center"/>
                </w:tcPr>
                <w:p>
                  <w:pPr>
                    <w:spacing w:line="300" w:lineRule="auto"/>
                    <w:jc w:val="center"/>
                    <w:rPr>
                      <w:rFonts w:ascii="Times New Roman" w:hAnsi="Times New Roman" w:eastAsiaTheme="minorEastAsia"/>
                      <w:szCs w:val="21"/>
                      <w:lang w:val="en-GB"/>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加油、卸油</w:t>
                  </w:r>
                </w:p>
              </w:tc>
              <w:tc>
                <w:tcPr>
                  <w:tcW w:w="1701" w:type="dxa"/>
                  <w:gridSpan w:val="2"/>
                  <w:vAlign w:val="center"/>
                </w:tcPr>
                <w:p>
                  <w:pPr>
                    <w:spacing w:line="300" w:lineRule="auto"/>
                    <w:jc w:val="center"/>
                    <w:rPr>
                      <w:rFonts w:ascii="Times New Roman" w:hAnsi="Times New Roman" w:eastAsiaTheme="minorEastAsia"/>
                      <w:szCs w:val="21"/>
                      <w:highlight w:val="yellow"/>
                      <w:lang w:val="en-GB"/>
                    </w:rPr>
                  </w:pPr>
                  <w:r>
                    <w:rPr>
                      <w:rFonts w:ascii="Times New Roman" w:hAnsi="Times New Roman" w:eastAsiaTheme="minorEastAsia"/>
                      <w:szCs w:val="21"/>
                      <w:lang w:val="en-GB"/>
                    </w:rPr>
                    <w:t>加油机、吸油泵</w:t>
                  </w: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类比法</w:t>
                  </w:r>
                </w:p>
              </w:tc>
              <w:tc>
                <w:tcPr>
                  <w:tcW w:w="851"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70</w:t>
                  </w:r>
                  <w:r>
                    <w:rPr>
                      <w:rFonts w:hint="eastAsia" w:ascii="Times New Roman" w:hAnsi="Times New Roman" w:eastAsiaTheme="minorEastAsia"/>
                      <w:szCs w:val="21"/>
                      <w:lang w:val="en-GB"/>
                    </w:rPr>
                    <w:t>-80</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基础减震</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15</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计算</w:t>
                  </w:r>
                </w:p>
              </w:tc>
              <w:tc>
                <w:tcPr>
                  <w:tcW w:w="918"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55-65</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8760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油气回收</w:t>
                  </w:r>
                </w:p>
              </w:tc>
              <w:tc>
                <w:tcPr>
                  <w:tcW w:w="1701"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油气回收装置</w:t>
                  </w: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类比法</w:t>
                  </w:r>
                </w:p>
              </w:tc>
              <w:tc>
                <w:tcPr>
                  <w:tcW w:w="851"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60-70</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基础减振</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15</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计算</w:t>
                  </w:r>
                </w:p>
              </w:tc>
              <w:tc>
                <w:tcPr>
                  <w:tcW w:w="918"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45-55</w:t>
                  </w:r>
                </w:p>
              </w:tc>
              <w:tc>
                <w:tcPr>
                  <w:tcW w:w="918" w:type="dxa"/>
                  <w:vAlign w:val="center"/>
                </w:tcPr>
                <w:p>
                  <w:pPr>
                    <w:spacing w:line="300" w:lineRule="auto"/>
                    <w:jc w:val="center"/>
                    <w:rPr>
                      <w:rFonts w:ascii="Times New Roman" w:hAnsi="Times New Roman" w:eastAsiaTheme="minorEastAsia"/>
                      <w:bCs/>
                      <w:szCs w:val="21"/>
                    </w:rPr>
                  </w:pPr>
                  <w:r>
                    <w:rPr>
                      <w:rFonts w:ascii="Times New Roman" w:hAnsi="Times New Roman" w:eastAsiaTheme="minorEastAsia"/>
                      <w:bCs/>
                      <w:szCs w:val="21"/>
                    </w:rPr>
                    <w:t>8760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加油</w:t>
                  </w:r>
                </w:p>
              </w:tc>
              <w:tc>
                <w:tcPr>
                  <w:tcW w:w="1701" w:type="dxa"/>
                  <w:gridSpan w:val="2"/>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站内车辆</w:t>
                  </w:r>
                </w:p>
              </w:tc>
              <w:tc>
                <w:tcPr>
                  <w:tcW w:w="850"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类比法</w:t>
                  </w:r>
                </w:p>
              </w:tc>
              <w:tc>
                <w:tcPr>
                  <w:tcW w:w="851"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55-</w:t>
                  </w:r>
                  <w:r>
                    <w:rPr>
                      <w:rFonts w:ascii="Times New Roman" w:hAnsi="Times New Roman" w:eastAsiaTheme="minorEastAsia"/>
                      <w:szCs w:val="21"/>
                      <w:lang w:val="en-GB"/>
                    </w:rPr>
                    <w:t>65</w:t>
                  </w:r>
                </w:p>
              </w:tc>
              <w:tc>
                <w:tcPr>
                  <w:tcW w:w="992"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无</w:t>
                  </w:r>
                </w:p>
              </w:tc>
              <w:tc>
                <w:tcPr>
                  <w:tcW w:w="1066"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0</w:t>
                  </w:r>
                </w:p>
              </w:tc>
              <w:tc>
                <w:tcPr>
                  <w:tcW w:w="918" w:type="dxa"/>
                  <w:vAlign w:val="center"/>
                </w:tcPr>
                <w:p>
                  <w:pPr>
                    <w:spacing w:line="300" w:lineRule="auto"/>
                    <w:jc w:val="center"/>
                    <w:rPr>
                      <w:rFonts w:ascii="Times New Roman" w:hAnsi="Times New Roman" w:eastAsiaTheme="minorEastAsia"/>
                      <w:szCs w:val="21"/>
                      <w:lang w:val="en-GB"/>
                    </w:rPr>
                  </w:pPr>
                  <w:r>
                    <w:rPr>
                      <w:rFonts w:ascii="Times New Roman" w:hAnsi="Times New Roman" w:eastAsiaTheme="minorEastAsia"/>
                      <w:szCs w:val="21"/>
                      <w:lang w:val="en-GB"/>
                    </w:rPr>
                    <w:t>/</w:t>
                  </w:r>
                </w:p>
              </w:tc>
              <w:tc>
                <w:tcPr>
                  <w:tcW w:w="918" w:type="dxa"/>
                  <w:vAlign w:val="center"/>
                </w:tcPr>
                <w:p>
                  <w:pPr>
                    <w:spacing w:line="300" w:lineRule="auto"/>
                    <w:jc w:val="center"/>
                    <w:rPr>
                      <w:rFonts w:ascii="Times New Roman" w:hAnsi="Times New Roman" w:eastAsiaTheme="minorEastAsia"/>
                      <w:szCs w:val="21"/>
                      <w:lang w:val="en-GB"/>
                    </w:rPr>
                  </w:pPr>
                  <w:r>
                    <w:rPr>
                      <w:rFonts w:hint="eastAsia" w:ascii="Times New Roman" w:hAnsi="Times New Roman" w:eastAsiaTheme="minorEastAsia"/>
                      <w:szCs w:val="21"/>
                      <w:lang w:val="en-GB"/>
                    </w:rPr>
                    <w:t>55-65</w:t>
                  </w:r>
                </w:p>
              </w:tc>
              <w:tc>
                <w:tcPr>
                  <w:tcW w:w="918" w:type="dxa"/>
                  <w:vAlign w:val="center"/>
                </w:tcPr>
                <w:p>
                  <w:pPr>
                    <w:spacing w:line="300" w:lineRule="auto"/>
                    <w:jc w:val="center"/>
                    <w:rPr>
                      <w:rFonts w:ascii="Times New Roman" w:hAnsi="Times New Roman" w:eastAsiaTheme="minorEastAsia"/>
                      <w:bCs/>
                      <w:szCs w:val="21"/>
                    </w:rPr>
                  </w:pPr>
                  <w:r>
                    <w:rPr>
                      <w:rFonts w:ascii="Times New Roman" w:hAnsi="Times New Roman" w:eastAsiaTheme="minorEastAsia"/>
                      <w:bCs/>
                      <w:szCs w:val="21"/>
                    </w:rPr>
                    <w:t>8760</w:t>
                  </w:r>
                </w:p>
              </w:tc>
            </w:tr>
          </w:tbl>
          <w:p>
            <w:pPr>
              <w:spacing w:line="360" w:lineRule="auto"/>
              <w:ind w:firstLine="560" w:firstLineChars="200"/>
              <w:rPr>
                <w:rFonts w:ascii="Times New Roman" w:hAnsi="Times New Roman"/>
                <w:bCs/>
                <w:sz w:val="28"/>
                <w:szCs w:val="28"/>
              </w:rPr>
            </w:pPr>
            <w:r>
              <w:rPr>
                <w:rFonts w:ascii="Times New Roman" w:hAnsi="Times New Roman"/>
                <w:bCs/>
                <w:sz w:val="28"/>
                <w:szCs w:val="28"/>
              </w:rPr>
              <w:t>噪声随距离衰减模式：</w:t>
            </w:r>
          </w:p>
          <w:p>
            <w:pPr>
              <w:spacing w:line="520" w:lineRule="exact"/>
              <w:ind w:firstLine="560" w:firstLineChars="200"/>
              <w:jc w:val="center"/>
              <w:rPr>
                <w:rFonts w:ascii="Times New Roman" w:hAnsi="Times New Roman"/>
                <w:sz w:val="28"/>
                <w:szCs w:val="28"/>
              </w:rPr>
            </w:pPr>
            <w:r>
              <w:rPr>
                <w:rFonts w:ascii="Times New Roman" w:hAnsi="Times New Roman"/>
                <w:sz w:val="28"/>
                <w:szCs w:val="28"/>
              </w:rPr>
              <w:t>L</w:t>
            </w:r>
            <w:r>
              <w:rPr>
                <w:rFonts w:ascii="Times New Roman" w:hAnsi="Times New Roman"/>
                <w:sz w:val="28"/>
                <w:szCs w:val="28"/>
                <w:vertAlign w:val="subscript"/>
              </w:rPr>
              <w:t>2</w:t>
            </w:r>
            <w:r>
              <w:rPr>
                <w:rFonts w:ascii="Times New Roman" w:hAnsi="Times New Roman"/>
                <w:sz w:val="28"/>
                <w:szCs w:val="28"/>
              </w:rPr>
              <w:t>=L</w:t>
            </w:r>
            <w:r>
              <w:rPr>
                <w:rFonts w:ascii="Times New Roman" w:hAnsi="Times New Roman"/>
                <w:sz w:val="28"/>
                <w:szCs w:val="28"/>
                <w:vertAlign w:val="subscript"/>
              </w:rPr>
              <w:t>1</w:t>
            </w:r>
            <w:r>
              <w:rPr>
                <w:rFonts w:ascii="Times New Roman" w:hAnsi="Times New Roman"/>
                <w:sz w:val="28"/>
                <w:szCs w:val="28"/>
              </w:rPr>
              <w:t>-20lgr</w:t>
            </w:r>
            <w:r>
              <w:rPr>
                <w:rFonts w:ascii="Times New Roman" w:hAnsi="Times New Roman"/>
                <w:sz w:val="28"/>
                <w:szCs w:val="28"/>
                <w:vertAlign w:val="subscript"/>
              </w:rPr>
              <w:t>2</w:t>
            </w:r>
            <w:r>
              <w:rPr>
                <w:rFonts w:ascii="Times New Roman" w:hAnsi="Times New Roman"/>
                <w:sz w:val="28"/>
                <w:szCs w:val="28"/>
              </w:rPr>
              <w:t>/r</w:t>
            </w:r>
            <w:r>
              <w:rPr>
                <w:rFonts w:ascii="Times New Roman" w:hAnsi="Times New Roman"/>
                <w:sz w:val="28"/>
                <w:szCs w:val="28"/>
                <w:vertAlign w:val="subscript"/>
              </w:rPr>
              <w:t>1</w:t>
            </w:r>
          </w:p>
          <w:p>
            <w:pPr>
              <w:spacing w:line="520" w:lineRule="exact"/>
              <w:ind w:firstLine="560" w:firstLineChars="200"/>
              <w:rPr>
                <w:rFonts w:ascii="Times New Roman" w:hAnsi="Times New Roman"/>
                <w:bCs/>
                <w:sz w:val="28"/>
                <w:szCs w:val="28"/>
              </w:rPr>
            </w:pPr>
            <w:r>
              <w:rPr>
                <w:rFonts w:ascii="Times New Roman" w:hAnsi="Times New Roman"/>
                <w:bCs/>
                <w:sz w:val="28"/>
                <w:szCs w:val="28"/>
              </w:rPr>
              <w:t>式中：L</w:t>
            </w:r>
            <w:r>
              <w:rPr>
                <w:rFonts w:ascii="Times New Roman" w:hAnsi="Times New Roman"/>
                <w:bCs/>
                <w:sz w:val="28"/>
                <w:szCs w:val="28"/>
                <w:vertAlign w:val="subscript"/>
              </w:rPr>
              <w:t>2</w:t>
            </w:r>
            <w:r>
              <w:rPr>
                <w:rFonts w:ascii="Times New Roman" w:hAnsi="Times New Roman"/>
                <w:bCs/>
                <w:sz w:val="28"/>
                <w:szCs w:val="28"/>
              </w:rPr>
              <w:t>——距声源r</w:t>
            </w:r>
            <w:r>
              <w:rPr>
                <w:rFonts w:ascii="Times New Roman" w:hAnsi="Times New Roman"/>
                <w:bCs/>
                <w:sz w:val="28"/>
                <w:szCs w:val="28"/>
                <w:vertAlign w:val="subscript"/>
              </w:rPr>
              <w:t>2</w:t>
            </w:r>
            <w:r>
              <w:rPr>
                <w:rFonts w:ascii="Times New Roman" w:hAnsi="Times New Roman"/>
                <w:bCs/>
                <w:sz w:val="28"/>
                <w:szCs w:val="28"/>
              </w:rPr>
              <w:t>处声源值[dB(A)]；</w:t>
            </w:r>
          </w:p>
          <w:p>
            <w:pPr>
              <w:spacing w:line="520" w:lineRule="exact"/>
              <w:ind w:firstLine="1400" w:firstLineChars="500"/>
              <w:rPr>
                <w:rFonts w:ascii="Times New Roman" w:hAnsi="Times New Roman"/>
                <w:bCs/>
                <w:sz w:val="28"/>
                <w:szCs w:val="28"/>
              </w:rPr>
            </w:pPr>
            <w:r>
              <w:rPr>
                <w:rFonts w:ascii="Times New Roman" w:hAnsi="Times New Roman"/>
                <w:bCs/>
                <w:sz w:val="28"/>
                <w:szCs w:val="28"/>
              </w:rPr>
              <w:t>L</w:t>
            </w:r>
            <w:r>
              <w:rPr>
                <w:rFonts w:ascii="Times New Roman" w:hAnsi="Times New Roman"/>
                <w:bCs/>
                <w:sz w:val="28"/>
                <w:szCs w:val="28"/>
                <w:vertAlign w:val="subscript"/>
              </w:rPr>
              <w:t>1</w:t>
            </w:r>
            <w:r>
              <w:rPr>
                <w:rFonts w:ascii="Times New Roman" w:hAnsi="Times New Roman"/>
                <w:bCs/>
                <w:sz w:val="28"/>
                <w:szCs w:val="28"/>
              </w:rPr>
              <w:t>——距声源r</w:t>
            </w:r>
            <w:r>
              <w:rPr>
                <w:rFonts w:ascii="Times New Roman" w:hAnsi="Times New Roman"/>
                <w:bCs/>
                <w:sz w:val="28"/>
                <w:szCs w:val="28"/>
                <w:vertAlign w:val="subscript"/>
              </w:rPr>
              <w:t>1</w:t>
            </w:r>
            <w:r>
              <w:rPr>
                <w:rFonts w:ascii="Times New Roman" w:hAnsi="Times New Roman"/>
                <w:bCs/>
                <w:sz w:val="28"/>
                <w:szCs w:val="28"/>
              </w:rPr>
              <w:t>处声源值[dB(A)]；</w:t>
            </w:r>
          </w:p>
          <w:p>
            <w:pPr>
              <w:spacing w:line="520" w:lineRule="exact"/>
              <w:ind w:firstLine="1400" w:firstLineChars="500"/>
              <w:rPr>
                <w:rFonts w:ascii="Times New Roman" w:hAnsi="Times New Roman"/>
                <w:bCs/>
                <w:sz w:val="28"/>
                <w:szCs w:val="28"/>
              </w:rPr>
            </w:pPr>
            <w:r>
              <w:rPr>
                <w:rFonts w:ascii="Times New Roman" w:hAnsi="Times New Roman"/>
                <w:bCs/>
                <w:sz w:val="28"/>
                <w:szCs w:val="28"/>
              </w:rPr>
              <w:t>r</w:t>
            </w:r>
            <w:r>
              <w:rPr>
                <w:rFonts w:ascii="Times New Roman" w:hAnsi="Times New Roman"/>
                <w:bCs/>
                <w:sz w:val="28"/>
                <w:szCs w:val="28"/>
                <w:vertAlign w:val="subscript"/>
              </w:rPr>
              <w:t>2</w:t>
            </w:r>
            <w:r>
              <w:rPr>
                <w:rFonts w:ascii="Times New Roman" w:hAnsi="Times New Roman"/>
                <w:bCs/>
                <w:sz w:val="28"/>
                <w:szCs w:val="28"/>
              </w:rPr>
              <w:t>、r</w:t>
            </w:r>
            <w:r>
              <w:rPr>
                <w:rFonts w:ascii="Times New Roman" w:hAnsi="Times New Roman"/>
                <w:bCs/>
                <w:sz w:val="28"/>
                <w:szCs w:val="28"/>
                <w:vertAlign w:val="subscript"/>
              </w:rPr>
              <w:t>1</w:t>
            </w:r>
            <w:r>
              <w:rPr>
                <w:rFonts w:ascii="Times New Roman" w:hAnsi="Times New Roman"/>
                <w:bCs/>
                <w:sz w:val="28"/>
                <w:szCs w:val="28"/>
              </w:rPr>
              <w:t>——与声源的距离（m）。</w:t>
            </w:r>
          </w:p>
          <w:p>
            <w:pPr>
              <w:spacing w:line="460" w:lineRule="atLeast"/>
              <w:ind w:firstLine="560" w:firstLineChars="200"/>
              <w:rPr>
                <w:rFonts w:ascii="Times New Roman" w:hAnsi="Times New Roman"/>
                <w:sz w:val="28"/>
                <w:szCs w:val="28"/>
              </w:rPr>
            </w:pPr>
            <w:r>
              <w:rPr>
                <w:rFonts w:ascii="Times New Roman" w:hAnsi="Times New Roman"/>
                <w:sz w:val="28"/>
                <w:szCs w:val="28"/>
              </w:rPr>
              <w:t>由于本项目为新建项目，且周边没有噪声敏感建筑和人群；因此将拟建项目噪声贡献值作为厂界噪声评价量，采用对本项目运营后的厂界噪声预测的结果如下。</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44 </w:t>
            </w:r>
            <w:r>
              <w:rPr>
                <w:rFonts w:ascii="Times New Roman" w:hAnsi="Times New Roman"/>
                <w:b/>
                <w:sz w:val="24"/>
                <w:szCs w:val="24"/>
              </w:rPr>
              <w:t xml:space="preserve">     厂界噪声预测结果表</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69"/>
              <w:gridCol w:w="1403"/>
              <w:gridCol w:w="1394"/>
              <w:gridCol w:w="1257"/>
              <w:gridCol w:w="1540"/>
              <w:gridCol w:w="195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0" w:type="pct"/>
                  <w:vMerge w:val="restart"/>
                  <w:vAlign w:val="center"/>
                </w:tcPr>
                <w:p>
                  <w:pPr>
                    <w:jc w:val="center"/>
                    <w:rPr>
                      <w:rFonts w:ascii="Times New Roman" w:hAnsi="Times New Roman" w:eastAsiaTheme="minorEastAsia"/>
                      <w:szCs w:val="21"/>
                    </w:rPr>
                  </w:pPr>
                  <w:r>
                    <w:rPr>
                      <w:rFonts w:ascii="Times New Roman" w:hAnsi="Times New Roman" w:eastAsiaTheme="minorEastAsia"/>
                      <w:szCs w:val="21"/>
                    </w:rPr>
                    <w:t>预测点</w:t>
                  </w:r>
                </w:p>
              </w:tc>
              <w:tc>
                <w:tcPr>
                  <w:tcW w:w="1533" w:type="pct"/>
                  <w:gridSpan w:val="2"/>
                  <w:vAlign w:val="center"/>
                </w:tcPr>
                <w:p>
                  <w:pPr>
                    <w:jc w:val="center"/>
                    <w:rPr>
                      <w:rFonts w:ascii="Times New Roman" w:hAnsi="Times New Roman" w:eastAsiaTheme="minorEastAsia"/>
                      <w:szCs w:val="21"/>
                    </w:rPr>
                  </w:pPr>
                  <w:r>
                    <w:rPr>
                      <w:rFonts w:hint="eastAsia" w:ascii="Times New Roman" w:hAnsi="Times New Roman" w:eastAsiaTheme="minorEastAsia"/>
                      <w:szCs w:val="21"/>
                    </w:rPr>
                    <w:t>贡献值</w:t>
                  </w:r>
                </w:p>
              </w:tc>
              <w:tc>
                <w:tcPr>
                  <w:tcW w:w="1533" w:type="pct"/>
                  <w:gridSpan w:val="2"/>
                  <w:vAlign w:val="center"/>
                </w:tcPr>
                <w:p>
                  <w:pPr>
                    <w:jc w:val="center"/>
                    <w:rPr>
                      <w:rFonts w:ascii="Times New Roman" w:hAnsi="Times New Roman" w:eastAsiaTheme="minorEastAsia"/>
                      <w:szCs w:val="21"/>
                    </w:rPr>
                  </w:pPr>
                  <w:r>
                    <w:rPr>
                      <w:rFonts w:hint="eastAsia" w:ascii="Times New Roman" w:hAnsi="Times New Roman" w:eastAsiaTheme="minorEastAsia"/>
                      <w:szCs w:val="21"/>
                    </w:rPr>
                    <w:t>标准值</w:t>
                  </w:r>
                </w:p>
              </w:tc>
              <w:tc>
                <w:tcPr>
                  <w:tcW w:w="1074" w:type="pct"/>
                  <w:vMerge w:val="restart"/>
                  <w:vAlign w:val="center"/>
                </w:tcPr>
                <w:p>
                  <w:pPr>
                    <w:jc w:val="center"/>
                    <w:rPr>
                      <w:rFonts w:ascii="Times New Roman" w:hAnsi="Times New Roman" w:eastAsiaTheme="minorEastAsia"/>
                      <w:szCs w:val="21"/>
                    </w:rPr>
                  </w:pPr>
                  <w:r>
                    <w:rPr>
                      <w:rFonts w:ascii="Times New Roman" w:hAnsi="Times New Roman" w:eastAsiaTheme="minorEastAsia"/>
                      <w:szCs w:val="21"/>
                    </w:rPr>
                    <w:t>评价结果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860" w:type="pct"/>
                  <w:vMerge w:val="continue"/>
                  <w:vAlign w:val="center"/>
                </w:tcPr>
                <w:p>
                  <w:pPr>
                    <w:jc w:val="center"/>
                    <w:rPr>
                      <w:rFonts w:ascii="Times New Roman" w:hAnsi="Times New Roman" w:eastAsiaTheme="minorEastAsia"/>
                      <w:szCs w:val="21"/>
                    </w:rPr>
                  </w:pPr>
                </w:p>
              </w:tc>
              <w:tc>
                <w:tcPr>
                  <w:tcW w:w="769" w:type="pct"/>
                  <w:vAlign w:val="center"/>
                </w:tcPr>
                <w:p>
                  <w:pPr>
                    <w:jc w:val="center"/>
                    <w:rPr>
                      <w:rFonts w:ascii="Times New Roman" w:hAnsi="Times New Roman" w:eastAsiaTheme="minorEastAsia"/>
                      <w:szCs w:val="21"/>
                    </w:rPr>
                  </w:pPr>
                  <w:r>
                    <w:rPr>
                      <w:rFonts w:hint="eastAsia" w:ascii="Times New Roman" w:hAnsi="Times New Roman" w:eastAsiaTheme="minorEastAsia"/>
                      <w:szCs w:val="21"/>
                    </w:rPr>
                    <w:t>昼间</w:t>
                  </w:r>
                </w:p>
                <w:p>
                  <w:pPr>
                    <w:jc w:val="center"/>
                    <w:rPr>
                      <w:rFonts w:ascii="Times New Roman" w:hAnsi="Times New Roman" w:eastAsiaTheme="minorEastAsia"/>
                      <w:szCs w:val="21"/>
                    </w:rPr>
                  </w:pPr>
                  <w:r>
                    <w:rPr>
                      <w:rFonts w:ascii="Times New Roman" w:hAnsi="Times New Roman" w:eastAsiaTheme="minorEastAsia"/>
                      <w:szCs w:val="21"/>
                    </w:rPr>
                    <w:t>dB(A)</w:t>
                  </w:r>
                </w:p>
              </w:tc>
              <w:tc>
                <w:tcPr>
                  <w:tcW w:w="764" w:type="pct"/>
                  <w:vAlign w:val="center"/>
                </w:tcPr>
                <w:p>
                  <w:pPr>
                    <w:jc w:val="center"/>
                    <w:rPr>
                      <w:rFonts w:ascii="Times New Roman" w:hAnsi="Times New Roman" w:eastAsiaTheme="minorEastAsia"/>
                      <w:szCs w:val="21"/>
                    </w:rPr>
                  </w:pPr>
                  <w:r>
                    <w:rPr>
                      <w:rFonts w:hint="eastAsia" w:ascii="Times New Roman" w:hAnsi="Times New Roman" w:eastAsiaTheme="minorEastAsia"/>
                      <w:szCs w:val="21"/>
                    </w:rPr>
                    <w:t>夜间</w:t>
                  </w:r>
                </w:p>
                <w:p>
                  <w:pPr>
                    <w:jc w:val="center"/>
                    <w:rPr>
                      <w:rFonts w:ascii="Times New Roman" w:hAnsi="Times New Roman" w:eastAsiaTheme="minorEastAsia"/>
                      <w:szCs w:val="21"/>
                    </w:rPr>
                  </w:pPr>
                  <w:r>
                    <w:rPr>
                      <w:rFonts w:ascii="Times New Roman" w:hAnsi="Times New Roman" w:eastAsiaTheme="minorEastAsia"/>
                      <w:szCs w:val="21"/>
                    </w:rPr>
                    <w:t>dB(A)</w:t>
                  </w:r>
                </w:p>
              </w:tc>
              <w:tc>
                <w:tcPr>
                  <w:tcW w:w="689" w:type="pct"/>
                  <w:vAlign w:val="center"/>
                </w:tcPr>
                <w:p>
                  <w:pPr>
                    <w:jc w:val="center"/>
                    <w:rPr>
                      <w:rFonts w:ascii="Times New Roman" w:hAnsi="Times New Roman" w:eastAsiaTheme="minorEastAsia"/>
                      <w:szCs w:val="21"/>
                    </w:rPr>
                  </w:pPr>
                  <w:r>
                    <w:rPr>
                      <w:rFonts w:hint="eastAsia" w:ascii="Times New Roman" w:hAnsi="Times New Roman" w:eastAsiaTheme="minorEastAsia"/>
                      <w:szCs w:val="21"/>
                    </w:rPr>
                    <w:t>昼间</w:t>
                  </w:r>
                </w:p>
                <w:p>
                  <w:pPr>
                    <w:jc w:val="center"/>
                    <w:rPr>
                      <w:rFonts w:ascii="Times New Roman" w:hAnsi="Times New Roman" w:eastAsiaTheme="minorEastAsia"/>
                      <w:szCs w:val="21"/>
                    </w:rPr>
                  </w:pPr>
                  <w:r>
                    <w:rPr>
                      <w:rFonts w:ascii="Times New Roman" w:hAnsi="Times New Roman" w:eastAsiaTheme="minorEastAsia"/>
                      <w:szCs w:val="21"/>
                    </w:rPr>
                    <w:t>dB(A)</w:t>
                  </w:r>
                </w:p>
              </w:tc>
              <w:tc>
                <w:tcPr>
                  <w:tcW w:w="844" w:type="pct"/>
                  <w:vAlign w:val="center"/>
                </w:tcPr>
                <w:p>
                  <w:pPr>
                    <w:jc w:val="center"/>
                    <w:rPr>
                      <w:rFonts w:ascii="Times New Roman" w:hAnsi="Times New Roman" w:eastAsiaTheme="minorEastAsia"/>
                      <w:szCs w:val="21"/>
                    </w:rPr>
                  </w:pPr>
                  <w:r>
                    <w:rPr>
                      <w:rFonts w:hint="eastAsia" w:ascii="Times New Roman" w:hAnsi="Times New Roman" w:eastAsiaTheme="minorEastAsia"/>
                      <w:szCs w:val="21"/>
                    </w:rPr>
                    <w:t>夜间</w:t>
                  </w:r>
                </w:p>
                <w:p>
                  <w:pPr>
                    <w:jc w:val="center"/>
                    <w:rPr>
                      <w:rFonts w:ascii="Times New Roman" w:hAnsi="Times New Roman" w:eastAsiaTheme="minorEastAsia"/>
                      <w:szCs w:val="21"/>
                    </w:rPr>
                  </w:pPr>
                  <w:r>
                    <w:rPr>
                      <w:rFonts w:ascii="Times New Roman" w:hAnsi="Times New Roman" w:eastAsiaTheme="minorEastAsia"/>
                      <w:szCs w:val="21"/>
                    </w:rPr>
                    <w:t>dB(A)</w:t>
                  </w:r>
                </w:p>
              </w:tc>
              <w:tc>
                <w:tcPr>
                  <w:tcW w:w="1074" w:type="pct"/>
                  <w:vMerge w:val="continue"/>
                  <w:vAlign w:val="center"/>
                </w:tcPr>
                <w:p>
                  <w:pPr>
                    <w:jc w:val="center"/>
                    <w:rPr>
                      <w:rFonts w:ascii="Times New Roman" w:hAnsi="Times New Roman" w:eastAsiaTheme="minorEastAsia"/>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860" w:type="pct"/>
                  <w:vAlign w:val="center"/>
                </w:tcPr>
                <w:p>
                  <w:pPr>
                    <w:jc w:val="center"/>
                    <w:rPr>
                      <w:rFonts w:ascii="Times New Roman" w:hAnsi="Times New Roman" w:eastAsiaTheme="minorEastAsia"/>
                      <w:szCs w:val="21"/>
                    </w:rPr>
                  </w:pPr>
                  <w:r>
                    <w:rPr>
                      <w:rFonts w:ascii="Times New Roman" w:hAnsi="Times New Roman" w:eastAsiaTheme="minorEastAsia"/>
                      <w:szCs w:val="21"/>
                    </w:rPr>
                    <w:t>东厂界</w:t>
                  </w:r>
                </w:p>
              </w:tc>
              <w:tc>
                <w:tcPr>
                  <w:tcW w:w="769"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32.9 </w:t>
                  </w:r>
                </w:p>
              </w:tc>
              <w:tc>
                <w:tcPr>
                  <w:tcW w:w="764"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32.9 </w:t>
                  </w:r>
                </w:p>
              </w:tc>
              <w:tc>
                <w:tcPr>
                  <w:tcW w:w="689" w:type="pct"/>
                  <w:vMerge w:val="restart"/>
                  <w:vAlign w:val="center"/>
                </w:tcPr>
                <w:p>
                  <w:pPr>
                    <w:jc w:val="center"/>
                    <w:rPr>
                      <w:rFonts w:ascii="Times New Roman" w:hAnsi="Times New Roman" w:eastAsiaTheme="minorEastAsia"/>
                      <w:szCs w:val="21"/>
                    </w:rPr>
                  </w:pPr>
                  <w:r>
                    <w:rPr>
                      <w:rFonts w:hint="eastAsia" w:ascii="Times New Roman" w:hAnsi="Times New Roman"/>
                      <w:szCs w:val="21"/>
                    </w:rPr>
                    <w:t>60</w:t>
                  </w:r>
                </w:p>
              </w:tc>
              <w:tc>
                <w:tcPr>
                  <w:tcW w:w="844" w:type="pct"/>
                  <w:vMerge w:val="restart"/>
                  <w:vAlign w:val="center"/>
                </w:tcPr>
                <w:p>
                  <w:pPr>
                    <w:jc w:val="center"/>
                    <w:rPr>
                      <w:rFonts w:ascii="Times New Roman" w:hAnsi="Times New Roman" w:eastAsiaTheme="minorEastAsia"/>
                      <w:szCs w:val="21"/>
                    </w:rPr>
                  </w:pPr>
                  <w:r>
                    <w:rPr>
                      <w:rFonts w:hint="eastAsia" w:ascii="Times New Roman" w:hAnsi="Times New Roman"/>
                      <w:szCs w:val="21"/>
                    </w:rPr>
                    <w:t>50</w:t>
                  </w:r>
                </w:p>
              </w:tc>
              <w:tc>
                <w:tcPr>
                  <w:tcW w:w="1074" w:type="pct"/>
                  <w:vAlign w:val="center"/>
                </w:tcPr>
                <w:p>
                  <w:pPr>
                    <w:jc w:val="center"/>
                    <w:rPr>
                      <w:rFonts w:ascii="Times New Roman" w:hAnsi="Times New Roman" w:eastAsiaTheme="minorEastAsia"/>
                      <w:szCs w:val="21"/>
                    </w:rPr>
                  </w:pPr>
                  <w:r>
                    <w:rPr>
                      <w:rFonts w:ascii="Times New Roman" w:hAnsi="Times New Roman" w:eastAsiaTheme="minor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860" w:type="pct"/>
                  <w:vAlign w:val="center"/>
                </w:tcPr>
                <w:p>
                  <w:pPr>
                    <w:jc w:val="center"/>
                    <w:rPr>
                      <w:rFonts w:ascii="Times New Roman" w:hAnsi="Times New Roman" w:eastAsiaTheme="minorEastAsia"/>
                      <w:szCs w:val="21"/>
                    </w:rPr>
                  </w:pPr>
                  <w:r>
                    <w:rPr>
                      <w:rFonts w:ascii="Times New Roman" w:hAnsi="Times New Roman" w:eastAsiaTheme="minorEastAsia"/>
                      <w:szCs w:val="21"/>
                    </w:rPr>
                    <w:t>南厂界</w:t>
                  </w:r>
                </w:p>
              </w:tc>
              <w:tc>
                <w:tcPr>
                  <w:tcW w:w="769"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45.2 </w:t>
                  </w:r>
                </w:p>
              </w:tc>
              <w:tc>
                <w:tcPr>
                  <w:tcW w:w="764"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45.2 </w:t>
                  </w:r>
                </w:p>
              </w:tc>
              <w:tc>
                <w:tcPr>
                  <w:tcW w:w="689" w:type="pct"/>
                  <w:vMerge w:val="continue"/>
                  <w:vAlign w:val="center"/>
                </w:tcPr>
                <w:p>
                  <w:pPr>
                    <w:jc w:val="center"/>
                    <w:rPr>
                      <w:rFonts w:ascii="Times New Roman" w:hAnsi="Times New Roman" w:eastAsiaTheme="minorEastAsia"/>
                      <w:szCs w:val="21"/>
                    </w:rPr>
                  </w:pPr>
                </w:p>
              </w:tc>
              <w:tc>
                <w:tcPr>
                  <w:tcW w:w="844" w:type="pct"/>
                  <w:vMerge w:val="continue"/>
                  <w:vAlign w:val="center"/>
                </w:tcPr>
                <w:p>
                  <w:pPr>
                    <w:jc w:val="center"/>
                    <w:rPr>
                      <w:rFonts w:ascii="Times New Roman" w:hAnsi="Times New Roman" w:eastAsiaTheme="minorEastAsia"/>
                      <w:szCs w:val="21"/>
                    </w:rPr>
                  </w:pPr>
                </w:p>
              </w:tc>
              <w:tc>
                <w:tcPr>
                  <w:tcW w:w="1074" w:type="pct"/>
                  <w:vAlign w:val="center"/>
                </w:tcPr>
                <w:p>
                  <w:pPr>
                    <w:jc w:val="center"/>
                    <w:rPr>
                      <w:rFonts w:ascii="Times New Roman" w:hAnsi="Times New Roman" w:eastAsiaTheme="minorEastAsia"/>
                      <w:szCs w:val="21"/>
                    </w:rPr>
                  </w:pPr>
                  <w:r>
                    <w:rPr>
                      <w:rFonts w:ascii="Times New Roman" w:hAnsi="Times New Roman" w:eastAsiaTheme="minor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60" w:type="pct"/>
                  <w:vAlign w:val="center"/>
                </w:tcPr>
                <w:p>
                  <w:pPr>
                    <w:jc w:val="center"/>
                    <w:rPr>
                      <w:rFonts w:ascii="Times New Roman" w:hAnsi="Times New Roman" w:eastAsiaTheme="minorEastAsia"/>
                      <w:szCs w:val="21"/>
                    </w:rPr>
                  </w:pPr>
                  <w:r>
                    <w:rPr>
                      <w:rFonts w:ascii="Times New Roman" w:hAnsi="Times New Roman" w:eastAsiaTheme="minorEastAsia"/>
                      <w:szCs w:val="21"/>
                    </w:rPr>
                    <w:t>西厂界</w:t>
                  </w:r>
                </w:p>
              </w:tc>
              <w:tc>
                <w:tcPr>
                  <w:tcW w:w="769"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32.6 </w:t>
                  </w:r>
                </w:p>
              </w:tc>
              <w:tc>
                <w:tcPr>
                  <w:tcW w:w="764"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32.6 </w:t>
                  </w:r>
                </w:p>
              </w:tc>
              <w:tc>
                <w:tcPr>
                  <w:tcW w:w="689" w:type="pct"/>
                  <w:vMerge w:val="continue"/>
                  <w:vAlign w:val="center"/>
                </w:tcPr>
                <w:p>
                  <w:pPr>
                    <w:jc w:val="center"/>
                    <w:rPr>
                      <w:rFonts w:ascii="Times New Roman" w:hAnsi="Times New Roman"/>
                      <w:szCs w:val="21"/>
                    </w:rPr>
                  </w:pPr>
                </w:p>
              </w:tc>
              <w:tc>
                <w:tcPr>
                  <w:tcW w:w="844" w:type="pct"/>
                  <w:vMerge w:val="continue"/>
                  <w:vAlign w:val="center"/>
                </w:tcPr>
                <w:p>
                  <w:pPr>
                    <w:jc w:val="center"/>
                    <w:rPr>
                      <w:rFonts w:ascii="Times New Roman" w:hAnsi="Times New Roman"/>
                      <w:szCs w:val="21"/>
                    </w:rPr>
                  </w:pPr>
                </w:p>
              </w:tc>
              <w:tc>
                <w:tcPr>
                  <w:tcW w:w="1074" w:type="pct"/>
                  <w:vAlign w:val="center"/>
                </w:tcPr>
                <w:p>
                  <w:pPr>
                    <w:jc w:val="center"/>
                    <w:rPr>
                      <w:rFonts w:ascii="Times New Roman" w:hAnsi="Times New Roman" w:eastAsiaTheme="minorEastAsia"/>
                      <w:szCs w:val="21"/>
                    </w:rPr>
                  </w:pPr>
                  <w:r>
                    <w:rPr>
                      <w:rFonts w:ascii="Times New Roman" w:hAnsi="Times New Roman" w:eastAsiaTheme="minorEastAsia"/>
                      <w:szCs w:val="21"/>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5" w:hRule="atLeast"/>
                <w:jc w:val="center"/>
              </w:trPr>
              <w:tc>
                <w:tcPr>
                  <w:tcW w:w="860" w:type="pct"/>
                  <w:vAlign w:val="center"/>
                </w:tcPr>
                <w:p>
                  <w:pPr>
                    <w:jc w:val="center"/>
                    <w:rPr>
                      <w:rFonts w:ascii="Times New Roman" w:hAnsi="Times New Roman" w:eastAsiaTheme="minorEastAsia"/>
                      <w:szCs w:val="21"/>
                    </w:rPr>
                  </w:pPr>
                  <w:r>
                    <w:rPr>
                      <w:rFonts w:ascii="Times New Roman" w:hAnsi="Times New Roman" w:eastAsiaTheme="minorEastAsia"/>
                      <w:szCs w:val="21"/>
                    </w:rPr>
                    <w:t>北厂界</w:t>
                  </w:r>
                </w:p>
              </w:tc>
              <w:tc>
                <w:tcPr>
                  <w:tcW w:w="769"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38.0 </w:t>
                  </w:r>
                </w:p>
              </w:tc>
              <w:tc>
                <w:tcPr>
                  <w:tcW w:w="764" w:type="pct"/>
                  <w:vAlign w:val="bottom"/>
                </w:tcPr>
                <w:p>
                  <w:pPr>
                    <w:jc w:val="center"/>
                    <w:rPr>
                      <w:rFonts w:ascii="Times New Roman" w:hAnsi="Times New Roman" w:eastAsiaTheme="minorEastAsia"/>
                      <w:szCs w:val="21"/>
                    </w:rPr>
                  </w:pPr>
                  <w:r>
                    <w:rPr>
                      <w:rFonts w:hint="eastAsia" w:ascii="Times New Roman" w:hAnsi="Times New Roman" w:eastAsiaTheme="minorEastAsia"/>
                      <w:szCs w:val="21"/>
                    </w:rPr>
                    <w:t xml:space="preserve">38.0 </w:t>
                  </w:r>
                </w:p>
              </w:tc>
              <w:tc>
                <w:tcPr>
                  <w:tcW w:w="689" w:type="pct"/>
                  <w:vAlign w:val="center"/>
                </w:tcPr>
                <w:p>
                  <w:pPr>
                    <w:jc w:val="center"/>
                    <w:rPr>
                      <w:rFonts w:ascii="Times New Roman" w:hAnsi="Times New Roman"/>
                      <w:szCs w:val="21"/>
                    </w:rPr>
                  </w:pPr>
                  <w:r>
                    <w:rPr>
                      <w:rFonts w:ascii="Times New Roman" w:hAnsi="Times New Roman"/>
                      <w:szCs w:val="21"/>
                    </w:rPr>
                    <w:t>70</w:t>
                  </w:r>
                </w:p>
              </w:tc>
              <w:tc>
                <w:tcPr>
                  <w:tcW w:w="844" w:type="pct"/>
                  <w:vAlign w:val="center"/>
                </w:tcPr>
                <w:p>
                  <w:pPr>
                    <w:jc w:val="center"/>
                    <w:rPr>
                      <w:rFonts w:ascii="Times New Roman" w:hAnsi="Times New Roman"/>
                      <w:szCs w:val="21"/>
                    </w:rPr>
                  </w:pPr>
                  <w:r>
                    <w:rPr>
                      <w:rFonts w:ascii="Times New Roman" w:hAnsi="Times New Roman"/>
                      <w:szCs w:val="21"/>
                    </w:rPr>
                    <w:t>55</w:t>
                  </w:r>
                </w:p>
              </w:tc>
              <w:tc>
                <w:tcPr>
                  <w:tcW w:w="1074" w:type="pct"/>
                  <w:vAlign w:val="center"/>
                </w:tcPr>
                <w:p>
                  <w:pPr>
                    <w:jc w:val="center"/>
                    <w:rPr>
                      <w:rFonts w:ascii="Times New Roman" w:hAnsi="Times New Roman" w:eastAsiaTheme="minorEastAsia"/>
                      <w:szCs w:val="21"/>
                    </w:rPr>
                  </w:pPr>
                  <w:r>
                    <w:rPr>
                      <w:rFonts w:ascii="Times New Roman" w:hAnsi="Times New Roman" w:eastAsiaTheme="minorEastAsia"/>
                      <w:szCs w:val="21"/>
                    </w:rPr>
                    <w:t>达标</w:t>
                  </w:r>
                </w:p>
              </w:tc>
            </w:tr>
          </w:tbl>
          <w:p>
            <w:pPr>
              <w:autoSpaceDE w:val="0"/>
              <w:autoSpaceDN w:val="0"/>
              <w:adjustRightInd w:val="0"/>
              <w:spacing w:line="360" w:lineRule="auto"/>
              <w:ind w:firstLine="560" w:firstLineChars="200"/>
              <w:rPr>
                <w:rFonts w:ascii="Times New Roman" w:hAnsi="Times New Roman" w:eastAsiaTheme="minorEastAsia"/>
                <w:sz w:val="28"/>
                <w:szCs w:val="24"/>
                <w:lang w:val="zh-CN"/>
              </w:rPr>
            </w:pPr>
            <w:r>
              <w:rPr>
                <w:rFonts w:ascii="Times New Roman" w:hAnsi="Times New Roman" w:eastAsiaTheme="minorEastAsia"/>
                <w:sz w:val="28"/>
                <w:szCs w:val="24"/>
                <w:lang w:val="zh-CN"/>
              </w:rPr>
              <w:t>由于本项目通过厂房隔音后，厂区以建筑物隔声后的最大最高值</w:t>
            </w:r>
            <w:r>
              <w:rPr>
                <w:rFonts w:hint="eastAsia" w:ascii="Times New Roman" w:hAnsi="Times New Roman" w:eastAsiaTheme="minorEastAsia"/>
                <w:sz w:val="28"/>
                <w:szCs w:val="24"/>
                <w:lang w:val="zh-CN"/>
              </w:rPr>
              <w:t>65</w:t>
            </w:r>
            <w:r>
              <w:rPr>
                <w:rFonts w:ascii="Times New Roman" w:hAnsi="Times New Roman" w:eastAsiaTheme="minorEastAsia"/>
                <w:sz w:val="28"/>
                <w:szCs w:val="24"/>
                <w:lang w:val="zh-CN"/>
              </w:rPr>
              <w:t>分贝计，通过噪声随距离衰减模式计算可知，厂界最大噪声贡献值为</w:t>
            </w:r>
            <w:r>
              <w:rPr>
                <w:rFonts w:hint="eastAsia" w:ascii="Times New Roman" w:hAnsi="Times New Roman" w:eastAsiaTheme="minorEastAsia"/>
                <w:sz w:val="28"/>
                <w:szCs w:val="24"/>
                <w:lang w:val="zh-CN"/>
              </w:rPr>
              <w:t>45.2</w:t>
            </w:r>
            <w:r>
              <w:rPr>
                <w:rFonts w:ascii="Times New Roman" w:hAnsi="Times New Roman" w:eastAsiaTheme="minorEastAsia"/>
                <w:sz w:val="28"/>
                <w:szCs w:val="24"/>
                <w:lang w:val="zh-CN"/>
              </w:rPr>
              <w:t>dB（A）</w:t>
            </w:r>
            <w:r>
              <w:rPr>
                <w:rFonts w:hint="eastAsia" w:ascii="Times New Roman" w:hAnsi="Times New Roman" w:eastAsiaTheme="minorEastAsia"/>
                <w:sz w:val="28"/>
                <w:szCs w:val="24"/>
                <w:lang w:val="zh-CN"/>
              </w:rPr>
              <w:t>，南侧</w:t>
            </w:r>
            <w:r>
              <w:rPr>
                <w:rFonts w:ascii="Times New Roman" w:hAnsi="Times New Roman" w:eastAsiaTheme="minorEastAsia"/>
                <w:sz w:val="28"/>
                <w:szCs w:val="24"/>
                <w:lang w:val="zh-CN"/>
              </w:rPr>
              <w:t>。</w:t>
            </w:r>
          </w:p>
          <w:p>
            <w:pPr>
              <w:autoSpaceDE w:val="0"/>
              <w:autoSpaceDN w:val="0"/>
              <w:adjustRightInd w:val="0"/>
              <w:spacing w:line="360" w:lineRule="auto"/>
              <w:ind w:firstLine="560" w:firstLineChars="200"/>
              <w:rPr>
                <w:rFonts w:ascii="Times New Roman" w:hAnsi="Times New Roman" w:eastAsiaTheme="minorEastAsia"/>
                <w:sz w:val="28"/>
                <w:szCs w:val="24"/>
                <w:lang w:val="zh-CN"/>
              </w:rPr>
            </w:pPr>
            <w:r>
              <w:rPr>
                <w:rFonts w:ascii="Times New Roman" w:hAnsi="Times New Roman" w:eastAsiaTheme="minorEastAsia"/>
                <w:sz w:val="28"/>
                <w:szCs w:val="24"/>
                <w:lang w:val="zh-CN"/>
              </w:rPr>
              <w:t>车辆进出站区加油，行驶速度要比在</w:t>
            </w:r>
            <w:r>
              <w:rPr>
                <w:rFonts w:hint="eastAsia" w:ascii="Times New Roman" w:hAnsi="Times New Roman" w:eastAsiaTheme="minorEastAsia"/>
                <w:sz w:val="28"/>
                <w:szCs w:val="24"/>
                <w:lang w:val="zh-CN"/>
              </w:rPr>
              <w:t>公</w:t>
            </w:r>
            <w:r>
              <w:rPr>
                <w:rFonts w:ascii="Times New Roman" w:hAnsi="Times New Roman" w:eastAsiaTheme="minorEastAsia"/>
                <w:sz w:val="28"/>
                <w:szCs w:val="24"/>
                <w:lang w:val="zh-CN"/>
              </w:rPr>
              <w:t>路上行驶的速度慢很多，因此交通噪声对周围环境的影响较小。通过采取以上措施，加油站</w:t>
            </w:r>
            <w:r>
              <w:rPr>
                <w:rFonts w:hint="eastAsia" w:ascii="Times New Roman" w:hAnsi="Times New Roman" w:eastAsiaTheme="minorEastAsia"/>
                <w:sz w:val="28"/>
                <w:szCs w:val="24"/>
                <w:lang w:val="zh-CN"/>
              </w:rPr>
              <w:t>北</w:t>
            </w:r>
            <w:r>
              <w:rPr>
                <w:rFonts w:ascii="Times New Roman" w:hAnsi="Times New Roman" w:eastAsiaTheme="minorEastAsia"/>
                <w:sz w:val="28"/>
                <w:szCs w:val="24"/>
                <w:lang w:val="zh-CN"/>
              </w:rPr>
              <w:t>侧厂界符合《工业企业厂界环境噪声排放标准》(GB12348-2008)中4类标准，其余厂界噪声符合《工业企业厂界环境噪声排放标准》(GB12348-2008)中</w:t>
            </w:r>
            <w:r>
              <w:rPr>
                <w:rFonts w:hint="eastAsia" w:ascii="Times New Roman" w:hAnsi="Times New Roman" w:eastAsiaTheme="minorEastAsia"/>
                <w:sz w:val="28"/>
                <w:szCs w:val="24"/>
                <w:lang w:val="zh-CN"/>
              </w:rPr>
              <w:t>2类</w:t>
            </w:r>
            <w:r>
              <w:rPr>
                <w:rFonts w:ascii="Times New Roman" w:hAnsi="Times New Roman" w:eastAsiaTheme="minorEastAsia"/>
                <w:sz w:val="28"/>
                <w:szCs w:val="24"/>
                <w:lang w:val="zh-CN"/>
              </w:rPr>
              <w:t>标准。</w:t>
            </w:r>
          </w:p>
          <w:p>
            <w:pPr>
              <w:spacing w:line="360" w:lineRule="auto"/>
              <w:ind w:firstLine="560" w:firstLineChars="200"/>
              <w:rPr>
                <w:rFonts w:ascii="Times New Roman" w:hAnsi="Times New Roman" w:eastAsiaTheme="minorEastAsia"/>
                <w:b/>
                <w:sz w:val="28"/>
                <w:szCs w:val="24"/>
                <w:lang w:val="zh-CN"/>
              </w:rPr>
            </w:pPr>
            <w:r>
              <w:rPr>
                <w:rFonts w:ascii="Times New Roman" w:hAnsi="Times New Roman" w:eastAsiaTheme="minorEastAsia"/>
                <w:b/>
                <w:sz w:val="28"/>
                <w:szCs w:val="24"/>
                <w:lang w:val="zh-CN"/>
              </w:rPr>
              <w:t>4 固体废物</w:t>
            </w:r>
          </w:p>
          <w:p>
            <w:pPr>
              <w:spacing w:line="360" w:lineRule="auto"/>
              <w:ind w:firstLine="560" w:firstLineChars="200"/>
              <w:rPr>
                <w:rFonts w:ascii="宋体" w:hAnsi="宋体" w:cs="宋体"/>
                <w:sz w:val="28"/>
                <w:szCs w:val="28"/>
              </w:rPr>
            </w:pPr>
            <w:r>
              <w:rPr>
                <w:rFonts w:hint="eastAsia" w:ascii="宋体" w:hAnsi="宋体" w:cs="宋体"/>
                <w:sz w:val="28"/>
                <w:szCs w:val="28"/>
              </w:rPr>
              <w:t>生活垃圾集中收集，由市政部门统一清运处置；油罐油泥（类别为HW08，代码为900-221-08）定期由有资质单位回收处理，站内不存储。废油脂委托环境卫生管理机构收集运输，无害化处置。</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由上可知，</w:t>
            </w:r>
            <w:r>
              <w:rPr>
                <w:rFonts w:ascii="Times New Roman" w:hAnsi="Times New Roman" w:eastAsiaTheme="minorEastAsia"/>
                <w:sz w:val="28"/>
                <w:szCs w:val="28"/>
              </w:rPr>
              <w:t>本项目固体废物处置合理，对外环境影响较小。</w:t>
            </w:r>
          </w:p>
          <w:p>
            <w:pPr>
              <w:spacing w:line="360" w:lineRule="auto"/>
              <w:ind w:firstLine="560" w:firstLineChars="200"/>
              <w:rPr>
                <w:rFonts w:ascii="Times New Roman" w:hAnsi="Times New Roman"/>
                <w:b/>
                <w:sz w:val="28"/>
                <w:szCs w:val="28"/>
              </w:rPr>
            </w:pPr>
            <w:r>
              <w:rPr>
                <w:rFonts w:hint="eastAsia" w:ascii="Times New Roman" w:hAnsi="Times New Roman"/>
                <w:b/>
                <w:sz w:val="28"/>
                <w:szCs w:val="28"/>
              </w:rPr>
              <w:t>5 土壤环境影响评价</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根据《环境影响评价技术导则土壤环境（试行）》（HJ 964—2018）评价工作等级的划分应依据建设项目行业分类和土壤环境敏感程度分级进行判定。</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（1） 根据《环境影响评价技术导则土壤环境（试行）》（HJ 964—2018）附录A可知，本项目属于表A.1的“公路的加油站”属于“Ⅲ类项目”；</w:t>
            </w:r>
          </w:p>
          <w:p>
            <w:pPr>
              <w:spacing w:line="360" w:lineRule="auto"/>
              <w:ind w:firstLine="560" w:firstLineChars="200"/>
              <w:jc w:val="left"/>
              <w:rPr>
                <w:sz w:val="28"/>
                <w:szCs w:val="28"/>
              </w:rPr>
            </w:pPr>
            <w:r>
              <w:rPr>
                <w:rFonts w:hint="eastAsia" w:ascii="Times New Roman" w:hAnsi="Times New Roman" w:eastAsiaTheme="minorEastAsia"/>
                <w:sz w:val="28"/>
                <w:szCs w:val="28"/>
              </w:rPr>
              <w:t xml:space="preserve">（2） </w:t>
            </w:r>
            <w:r>
              <w:rPr>
                <w:sz w:val="28"/>
                <w:szCs w:val="28"/>
              </w:rPr>
              <w:t>将建设项目占地规模分为大型（≥50 hm</w:t>
            </w:r>
            <w:r>
              <w:rPr>
                <w:sz w:val="28"/>
                <w:szCs w:val="28"/>
                <w:vertAlign w:val="superscript"/>
              </w:rPr>
              <w:t>2</w:t>
            </w:r>
            <w:r>
              <w:rPr>
                <w:sz w:val="28"/>
                <w:szCs w:val="28"/>
              </w:rPr>
              <w:t>）、中型（5~50 hm</w:t>
            </w:r>
            <w:r>
              <w:rPr>
                <w:sz w:val="28"/>
                <w:szCs w:val="28"/>
                <w:vertAlign w:val="superscript"/>
              </w:rPr>
              <w:t>2</w:t>
            </w:r>
            <w:r>
              <w:rPr>
                <w:sz w:val="28"/>
                <w:szCs w:val="28"/>
              </w:rPr>
              <w:t>）、小型（≤5 hm</w:t>
            </w:r>
            <w:r>
              <w:rPr>
                <w:sz w:val="28"/>
                <w:szCs w:val="28"/>
                <w:vertAlign w:val="superscript"/>
              </w:rPr>
              <w:t>2</w:t>
            </w:r>
            <w:r>
              <w:rPr>
                <w:sz w:val="28"/>
                <w:szCs w:val="28"/>
              </w:rPr>
              <w:t>），建设项目占地主要为永久占地。本项目占地面积约3566.32</w:t>
            </w:r>
            <w:r>
              <w:rPr>
                <w:rFonts w:hint="eastAsia"/>
                <w:sz w:val="28"/>
                <w:szCs w:val="28"/>
              </w:rPr>
              <w:t xml:space="preserve"> </w:t>
            </w:r>
            <w:r>
              <w:rPr>
                <w:sz w:val="28"/>
                <w:szCs w:val="28"/>
              </w:rPr>
              <w:t>m</w:t>
            </w:r>
            <w:r>
              <w:rPr>
                <w:sz w:val="28"/>
                <w:szCs w:val="28"/>
                <w:vertAlign w:val="superscript"/>
              </w:rPr>
              <w:t>2</w:t>
            </w:r>
            <w:r>
              <w:rPr>
                <w:sz w:val="28"/>
                <w:szCs w:val="28"/>
              </w:rPr>
              <w:t>，属于“小型”。</w:t>
            </w:r>
          </w:p>
          <w:p>
            <w:pPr>
              <w:spacing w:line="360" w:lineRule="auto"/>
              <w:ind w:firstLine="560" w:firstLineChars="200"/>
              <w:jc w:val="left"/>
              <w:rPr>
                <w:sz w:val="28"/>
                <w:szCs w:val="28"/>
              </w:rPr>
            </w:pPr>
            <w:r>
              <w:rPr>
                <w:rFonts w:hint="eastAsia"/>
                <w:sz w:val="28"/>
                <w:szCs w:val="28"/>
              </w:rPr>
              <w:t>（3） 污染影响型建设项目场地的土壤敏感程度可分为敏感、较敏感、不敏感三级，分级原则见下表。</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45   </w:t>
            </w:r>
            <w:r>
              <w:rPr>
                <w:rFonts w:ascii="Times New Roman" w:hAnsi="Times New Roman"/>
                <w:b/>
                <w:sz w:val="24"/>
                <w:szCs w:val="24"/>
              </w:rPr>
              <w:t xml:space="preserve"> 污染影响型敏感程度分级表</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97"/>
              <w:gridCol w:w="74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0" w:type="pct"/>
                  <w:vAlign w:val="center"/>
                </w:tcPr>
                <w:p>
                  <w:pPr>
                    <w:jc w:val="center"/>
                  </w:pPr>
                  <w:r>
                    <w:t>敏感程度</w:t>
                  </w:r>
                </w:p>
              </w:tc>
              <w:tc>
                <w:tcPr>
                  <w:tcW w:w="4070" w:type="pct"/>
                  <w:vAlign w:val="center"/>
                </w:tcPr>
                <w:p>
                  <w:pPr>
                    <w:jc w:val="center"/>
                  </w:pPr>
                  <w:r>
                    <w:t>判别依据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0" w:type="pct"/>
                  <w:vAlign w:val="center"/>
                </w:tcPr>
                <w:p>
                  <w:pPr>
                    <w:jc w:val="center"/>
                  </w:pPr>
                  <w:r>
                    <w:t>敏感</w:t>
                  </w:r>
                </w:p>
              </w:tc>
              <w:tc>
                <w:tcPr>
                  <w:tcW w:w="4070" w:type="pct"/>
                  <w:vAlign w:val="center"/>
                </w:tcPr>
                <w:p>
                  <w:pPr>
                    <w:jc w:val="center"/>
                  </w:pPr>
                  <w:r>
                    <w:t>建设项目周边存在耕地、园地、牧草地、饮用水水源地或居民区、学校、医院、疗养院、养老院等土壤环境敏感目标的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0" w:type="pct"/>
                  <w:vAlign w:val="center"/>
                </w:tcPr>
                <w:p>
                  <w:pPr>
                    <w:jc w:val="center"/>
                  </w:pPr>
                  <w:r>
                    <w:t>较敏感</w:t>
                  </w:r>
                </w:p>
              </w:tc>
              <w:tc>
                <w:tcPr>
                  <w:tcW w:w="4070" w:type="pct"/>
                  <w:vAlign w:val="center"/>
                </w:tcPr>
                <w:p>
                  <w:pPr>
                    <w:jc w:val="center"/>
                  </w:pPr>
                  <w:r>
                    <w:t>建设项目周边存在其他土壤环境敏感目标的</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30" w:type="pct"/>
                  <w:vAlign w:val="center"/>
                </w:tcPr>
                <w:p>
                  <w:pPr>
                    <w:jc w:val="center"/>
                  </w:pPr>
                  <w:r>
                    <w:t>不敏感</w:t>
                  </w:r>
                </w:p>
              </w:tc>
              <w:tc>
                <w:tcPr>
                  <w:tcW w:w="4070" w:type="pct"/>
                  <w:vAlign w:val="center"/>
                </w:tcPr>
                <w:p>
                  <w:pPr>
                    <w:jc w:val="center"/>
                  </w:pPr>
                  <w:r>
                    <w:t>其他情况</w:t>
                  </w:r>
                </w:p>
              </w:tc>
            </w:tr>
          </w:tbl>
          <w:p>
            <w:pPr>
              <w:spacing w:line="360" w:lineRule="auto"/>
              <w:ind w:firstLine="560" w:firstLineChars="200"/>
              <w:jc w:val="left"/>
              <w:rPr>
                <w:sz w:val="28"/>
                <w:szCs w:val="28"/>
              </w:rPr>
            </w:pPr>
            <w:r>
              <w:rPr>
                <w:rFonts w:hint="eastAsia"/>
                <w:sz w:val="28"/>
                <w:szCs w:val="28"/>
              </w:rPr>
              <w:t>本项目不属于考虑大气沉降影响的行业，且项目不涉及地面漫流等，建设项目敏感程度为不敏感。</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46  </w:t>
            </w:r>
            <w:r>
              <w:rPr>
                <w:rFonts w:ascii="Times New Roman" w:hAnsi="Times New Roman"/>
                <w:b/>
                <w:sz w:val="24"/>
                <w:szCs w:val="24"/>
              </w:rPr>
              <w:t xml:space="preserve">  工作等级分级表</w:t>
            </w:r>
          </w:p>
          <w:tbl>
            <w:tblPr>
              <w:tblStyle w:val="2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845"/>
              <w:gridCol w:w="697"/>
              <w:gridCol w:w="697"/>
              <w:gridCol w:w="699"/>
              <w:gridCol w:w="697"/>
              <w:gridCol w:w="697"/>
              <w:gridCol w:w="699"/>
              <w:gridCol w:w="697"/>
              <w:gridCol w:w="697"/>
              <w:gridCol w:w="69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60" w:type="pct"/>
                  <w:vMerge w:val="restart"/>
                  <w:vAlign w:val="center"/>
                </w:tcPr>
                <w:p>
                  <w:r>
                    <mc:AlternateContent>
                      <mc:Choice Requires="wps">
                        <w:drawing>
                          <wp:anchor distT="0" distB="0" distL="114300" distR="114300" simplePos="0" relativeHeight="251685888" behindDoc="0" locked="0" layoutInCell="1" allowOverlap="1">
                            <wp:simplePos x="0" y="0"/>
                            <wp:positionH relativeFrom="column">
                              <wp:posOffset>464820</wp:posOffset>
                            </wp:positionH>
                            <wp:positionV relativeFrom="paragraph">
                              <wp:posOffset>-4445</wp:posOffset>
                            </wp:positionV>
                            <wp:extent cx="1104900" cy="579120"/>
                            <wp:effectExtent l="0" t="0" r="19050" b="30480"/>
                            <wp:wrapNone/>
                            <wp:docPr id="25" name="直接连接符 25"/>
                            <wp:cNvGraphicFramePr/>
                            <a:graphic xmlns:a="http://schemas.openxmlformats.org/drawingml/2006/main">
                              <a:graphicData uri="http://schemas.microsoft.com/office/word/2010/wordprocessingShape">
                                <wps:wsp>
                                  <wps:cNvCnPr/>
                                  <wps:spPr>
                                    <a:xfrm>
                                      <a:off x="0" y="0"/>
                                      <a:ext cx="1104900" cy="5791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6.6pt;margin-top:-0.35pt;height:45.6pt;width:87pt;z-index:251685888;mso-width-relative:page;mso-height-relative:page;" filled="f" stroked="t" coordsize="21600,21600" o:gfxdata="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C6uYdUAAAAHAQAADwAAAAAAAAAB&#10;ACAAAAAiAAAAZHJzL2Rvd25yZXYueG1sUEsBAhQAFAAAAAgAh07iQGCOOm/aAQAAjAMAAA4AAAAA&#10;AAAAAQAgAAAAJAEAAGRycy9lMm9Eb2MueG1sUEsFBgAAAAAGAAYAWQEAAHAFAAAAAA==&#10;">
                            <v:fill on="f" focussize="0,0"/>
                            <v:stroke color="#000000 [3200]" joinstyle="round"/>
                            <v:imagedata o:title=""/>
                            <o:lock v:ext="edit" aspectratio="f"/>
                          </v:line>
                        </w:pict>
                      </mc:Fallback>
                    </mc:AlternateContent>
                  </w:r>
                  <w:r>
                    <w:t xml:space="preserve">              占地规模</w:t>
                  </w:r>
                </w:p>
                <w:p>
                  <w:r>
                    <mc:AlternateContent>
                      <mc:Choice Requires="wps">
                        <w:drawing>
                          <wp:anchor distT="0" distB="0" distL="114300" distR="114300" simplePos="0" relativeHeight="251686912" behindDoc="0" locked="0" layoutInCell="1" allowOverlap="1">
                            <wp:simplePos x="0" y="0"/>
                            <wp:positionH relativeFrom="column">
                              <wp:posOffset>-11430</wp:posOffset>
                            </wp:positionH>
                            <wp:positionV relativeFrom="paragraph">
                              <wp:posOffset>149860</wp:posOffset>
                            </wp:positionV>
                            <wp:extent cx="1504950" cy="226695"/>
                            <wp:effectExtent l="0" t="0" r="19050" b="20955"/>
                            <wp:wrapNone/>
                            <wp:docPr id="15" name="直接连接符 15"/>
                            <wp:cNvGraphicFramePr/>
                            <a:graphic xmlns:a="http://schemas.openxmlformats.org/drawingml/2006/main">
                              <a:graphicData uri="http://schemas.microsoft.com/office/word/2010/wordprocessingShape">
                                <wps:wsp>
                                  <wps:cNvCnPr/>
                                  <wps:spPr>
                                    <a:xfrm>
                                      <a:off x="0" y="0"/>
                                      <a:ext cx="1504950" cy="2266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9pt;margin-top:11.8pt;height:17.85pt;width:118.5pt;z-index:251686912;mso-width-relative:page;mso-height-relative:page;" filled="f" stroked="t" coordsize="21600,21600" o:gfxdata="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H5Apl1wAAAAgBAAAPAAAAAAAA&#10;AAEAIAAAACIAAABkcnMvZG93bnJldi54bWxQSwECFAAUAAAACACHTuJA4UOY+9oBAACMAwAADgAA&#10;AAAAAAABACAAAAAmAQAAZHJzL2Uyb0RvYy54bWxQSwUGAAAAAAYABgBZAQAAcgUAAAAA&#10;">
                            <v:fill on="f" focussize="0,0"/>
                            <v:stroke color="#000000 [3200]" joinstyle="round"/>
                            <v:imagedata o:title=""/>
                            <o:lock v:ext="edit" aspectratio="f"/>
                          </v:line>
                        </w:pict>
                      </mc:Fallback>
                    </mc:AlternateContent>
                  </w:r>
                  <w:r>
                    <w:t>评价工作等级</w:t>
                  </w:r>
                </w:p>
                <w:p>
                  <w:r>
                    <w:t>敏感程度</w:t>
                  </w:r>
                </w:p>
              </w:tc>
              <w:tc>
                <w:tcPr>
                  <w:tcW w:w="1147" w:type="pct"/>
                  <w:gridSpan w:val="3"/>
                  <w:vAlign w:val="center"/>
                </w:tcPr>
                <w:p>
                  <w:pPr>
                    <w:jc w:val="center"/>
                  </w:pPr>
                  <w:r>
                    <w:rPr>
                      <w:rFonts w:hint="eastAsia" w:ascii="宋体" w:hAnsi="宋体" w:cs="宋体"/>
                    </w:rPr>
                    <w:t>Ⅰ</w:t>
                  </w:r>
                  <w:r>
                    <w:t>类</w:t>
                  </w:r>
                </w:p>
              </w:tc>
              <w:tc>
                <w:tcPr>
                  <w:tcW w:w="1147" w:type="pct"/>
                  <w:gridSpan w:val="3"/>
                  <w:vAlign w:val="center"/>
                </w:tcPr>
                <w:p>
                  <w:pPr>
                    <w:jc w:val="center"/>
                  </w:pPr>
                  <w:r>
                    <w:rPr>
                      <w:rFonts w:hint="eastAsia" w:ascii="宋体" w:hAnsi="宋体" w:cs="宋体"/>
                    </w:rPr>
                    <w:t>Ⅱ</w:t>
                  </w:r>
                  <w:r>
                    <w:t>类</w:t>
                  </w:r>
                </w:p>
              </w:tc>
              <w:tc>
                <w:tcPr>
                  <w:tcW w:w="1147" w:type="pct"/>
                  <w:gridSpan w:val="3"/>
                  <w:vAlign w:val="center"/>
                </w:tcPr>
                <w:p>
                  <w:pPr>
                    <w:jc w:val="center"/>
                  </w:pPr>
                  <w:r>
                    <w:rPr>
                      <w:rFonts w:hint="eastAsia" w:ascii="宋体" w:hAnsi="宋体" w:cs="宋体"/>
                    </w:rPr>
                    <w:t>Ⅲ</w:t>
                  </w:r>
                  <w:r>
                    <w:t>类</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60" w:type="pct"/>
                  <w:vMerge w:val="continue"/>
                  <w:vAlign w:val="center"/>
                </w:tcPr>
                <w:p/>
              </w:tc>
              <w:tc>
                <w:tcPr>
                  <w:tcW w:w="382" w:type="pct"/>
                  <w:vAlign w:val="center"/>
                </w:tcPr>
                <w:p>
                  <w:pPr>
                    <w:jc w:val="center"/>
                  </w:pPr>
                  <w:r>
                    <w:t>大</w:t>
                  </w:r>
                </w:p>
              </w:tc>
              <w:tc>
                <w:tcPr>
                  <w:tcW w:w="382" w:type="pct"/>
                  <w:vAlign w:val="center"/>
                </w:tcPr>
                <w:p>
                  <w:pPr>
                    <w:jc w:val="center"/>
                  </w:pPr>
                  <w:r>
                    <w:t>中</w:t>
                  </w:r>
                </w:p>
              </w:tc>
              <w:tc>
                <w:tcPr>
                  <w:tcW w:w="382" w:type="pct"/>
                  <w:vAlign w:val="center"/>
                </w:tcPr>
                <w:p>
                  <w:pPr>
                    <w:jc w:val="center"/>
                  </w:pPr>
                  <w:r>
                    <w:t>小</w:t>
                  </w:r>
                </w:p>
              </w:tc>
              <w:tc>
                <w:tcPr>
                  <w:tcW w:w="382" w:type="pct"/>
                  <w:vAlign w:val="center"/>
                </w:tcPr>
                <w:p>
                  <w:pPr>
                    <w:jc w:val="center"/>
                  </w:pPr>
                  <w:r>
                    <w:t>大</w:t>
                  </w:r>
                </w:p>
              </w:tc>
              <w:tc>
                <w:tcPr>
                  <w:tcW w:w="382" w:type="pct"/>
                  <w:vAlign w:val="center"/>
                </w:tcPr>
                <w:p>
                  <w:pPr>
                    <w:jc w:val="center"/>
                  </w:pPr>
                  <w:r>
                    <w:t>中</w:t>
                  </w:r>
                </w:p>
              </w:tc>
              <w:tc>
                <w:tcPr>
                  <w:tcW w:w="382" w:type="pct"/>
                  <w:vAlign w:val="center"/>
                </w:tcPr>
                <w:p>
                  <w:pPr>
                    <w:jc w:val="center"/>
                  </w:pPr>
                  <w:r>
                    <w:t>小</w:t>
                  </w:r>
                </w:p>
              </w:tc>
              <w:tc>
                <w:tcPr>
                  <w:tcW w:w="382" w:type="pct"/>
                  <w:vAlign w:val="center"/>
                </w:tcPr>
                <w:p>
                  <w:pPr>
                    <w:jc w:val="center"/>
                  </w:pPr>
                  <w:r>
                    <w:t>大</w:t>
                  </w:r>
                </w:p>
              </w:tc>
              <w:tc>
                <w:tcPr>
                  <w:tcW w:w="382" w:type="pct"/>
                  <w:vAlign w:val="center"/>
                </w:tcPr>
                <w:p>
                  <w:pPr>
                    <w:jc w:val="center"/>
                  </w:pPr>
                  <w:r>
                    <w:t>中</w:t>
                  </w:r>
                </w:p>
              </w:tc>
              <w:tc>
                <w:tcPr>
                  <w:tcW w:w="382" w:type="pct"/>
                  <w:vAlign w:val="center"/>
                </w:tcPr>
                <w:p>
                  <w:pPr>
                    <w:jc w:val="center"/>
                  </w:pPr>
                  <w:r>
                    <w:t>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60" w:type="pct"/>
                  <w:vAlign w:val="center"/>
                </w:tcPr>
                <w:p>
                  <w:pPr>
                    <w:jc w:val="center"/>
                  </w:pPr>
                  <w:r>
                    <w:t>敏感</w:t>
                  </w:r>
                </w:p>
              </w:tc>
              <w:tc>
                <w:tcPr>
                  <w:tcW w:w="382" w:type="pct"/>
                  <w:vAlign w:val="center"/>
                </w:tcPr>
                <w:p>
                  <w:pPr>
                    <w:jc w:val="center"/>
                  </w:pPr>
                  <w:r>
                    <w:t>一级</w:t>
                  </w:r>
                </w:p>
              </w:tc>
              <w:tc>
                <w:tcPr>
                  <w:tcW w:w="382" w:type="pct"/>
                  <w:vAlign w:val="center"/>
                </w:tcPr>
                <w:p>
                  <w:pPr>
                    <w:jc w:val="center"/>
                  </w:pPr>
                  <w:r>
                    <w:t>一级</w:t>
                  </w:r>
                </w:p>
              </w:tc>
              <w:tc>
                <w:tcPr>
                  <w:tcW w:w="382" w:type="pct"/>
                  <w:vAlign w:val="center"/>
                </w:tcPr>
                <w:p>
                  <w:pPr>
                    <w:jc w:val="center"/>
                  </w:pPr>
                  <w:r>
                    <w:t>一级</w:t>
                  </w:r>
                </w:p>
              </w:tc>
              <w:tc>
                <w:tcPr>
                  <w:tcW w:w="382" w:type="pct"/>
                  <w:vAlign w:val="center"/>
                </w:tcPr>
                <w:p>
                  <w:pPr>
                    <w:jc w:val="center"/>
                  </w:pPr>
                  <w:r>
                    <w:t>二级</w:t>
                  </w:r>
                </w:p>
              </w:tc>
              <w:tc>
                <w:tcPr>
                  <w:tcW w:w="382" w:type="pct"/>
                  <w:vAlign w:val="center"/>
                </w:tcPr>
                <w:p>
                  <w:pPr>
                    <w:jc w:val="center"/>
                  </w:pPr>
                  <w:r>
                    <w:t>二级</w:t>
                  </w:r>
                </w:p>
              </w:tc>
              <w:tc>
                <w:tcPr>
                  <w:tcW w:w="382" w:type="pct"/>
                  <w:vAlign w:val="center"/>
                </w:tcPr>
                <w:p>
                  <w:pPr>
                    <w:jc w:val="center"/>
                  </w:pPr>
                  <w:r>
                    <w:t>二级</w:t>
                  </w:r>
                </w:p>
              </w:tc>
              <w:tc>
                <w:tcPr>
                  <w:tcW w:w="382" w:type="pct"/>
                  <w:vAlign w:val="center"/>
                </w:tcPr>
                <w:p>
                  <w:pPr>
                    <w:jc w:val="center"/>
                  </w:pPr>
                  <w:r>
                    <w:t>三级</w:t>
                  </w:r>
                </w:p>
              </w:tc>
              <w:tc>
                <w:tcPr>
                  <w:tcW w:w="382" w:type="pct"/>
                  <w:vAlign w:val="center"/>
                </w:tcPr>
                <w:p>
                  <w:pPr>
                    <w:jc w:val="center"/>
                  </w:pPr>
                  <w:r>
                    <w:t>三级</w:t>
                  </w:r>
                </w:p>
              </w:tc>
              <w:tc>
                <w:tcPr>
                  <w:tcW w:w="382" w:type="pct"/>
                  <w:vAlign w:val="center"/>
                </w:tcPr>
                <w:p>
                  <w:pPr>
                    <w:jc w:val="center"/>
                  </w:pPr>
                  <w:r>
                    <w:t>三级</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60" w:type="pct"/>
                  <w:vAlign w:val="center"/>
                </w:tcPr>
                <w:p>
                  <w:pPr>
                    <w:jc w:val="center"/>
                  </w:pPr>
                  <w:r>
                    <w:t>较敏感</w:t>
                  </w:r>
                </w:p>
              </w:tc>
              <w:tc>
                <w:tcPr>
                  <w:tcW w:w="382" w:type="pct"/>
                  <w:vAlign w:val="center"/>
                </w:tcPr>
                <w:p>
                  <w:pPr>
                    <w:jc w:val="center"/>
                  </w:pPr>
                  <w:r>
                    <w:t>一级</w:t>
                  </w:r>
                </w:p>
              </w:tc>
              <w:tc>
                <w:tcPr>
                  <w:tcW w:w="382" w:type="pct"/>
                  <w:vAlign w:val="center"/>
                </w:tcPr>
                <w:p>
                  <w:pPr>
                    <w:jc w:val="center"/>
                  </w:pPr>
                  <w:r>
                    <w:t>一级</w:t>
                  </w:r>
                </w:p>
              </w:tc>
              <w:tc>
                <w:tcPr>
                  <w:tcW w:w="382" w:type="pct"/>
                  <w:vAlign w:val="center"/>
                </w:tcPr>
                <w:p>
                  <w:pPr>
                    <w:jc w:val="center"/>
                  </w:pPr>
                  <w:r>
                    <w:t>二级</w:t>
                  </w:r>
                </w:p>
              </w:tc>
              <w:tc>
                <w:tcPr>
                  <w:tcW w:w="382" w:type="pct"/>
                  <w:vAlign w:val="center"/>
                </w:tcPr>
                <w:p>
                  <w:pPr>
                    <w:jc w:val="center"/>
                  </w:pPr>
                  <w:r>
                    <w:t>二级</w:t>
                  </w:r>
                </w:p>
              </w:tc>
              <w:tc>
                <w:tcPr>
                  <w:tcW w:w="382" w:type="pct"/>
                  <w:vAlign w:val="center"/>
                </w:tcPr>
                <w:p>
                  <w:pPr>
                    <w:jc w:val="center"/>
                  </w:pPr>
                  <w:r>
                    <w:t>二级</w:t>
                  </w:r>
                </w:p>
              </w:tc>
              <w:tc>
                <w:tcPr>
                  <w:tcW w:w="382" w:type="pct"/>
                  <w:vAlign w:val="center"/>
                </w:tcPr>
                <w:p>
                  <w:pPr>
                    <w:jc w:val="center"/>
                  </w:pPr>
                  <w:r>
                    <w:t>三级</w:t>
                  </w:r>
                </w:p>
              </w:tc>
              <w:tc>
                <w:tcPr>
                  <w:tcW w:w="382" w:type="pct"/>
                  <w:vAlign w:val="center"/>
                </w:tcPr>
                <w:p>
                  <w:pPr>
                    <w:jc w:val="center"/>
                  </w:pPr>
                  <w:r>
                    <w:t>三级</w:t>
                  </w:r>
                </w:p>
              </w:tc>
              <w:tc>
                <w:tcPr>
                  <w:tcW w:w="382" w:type="pct"/>
                  <w:vAlign w:val="center"/>
                </w:tcPr>
                <w:p>
                  <w:pPr>
                    <w:jc w:val="center"/>
                  </w:pPr>
                  <w:r>
                    <w:t>三级</w:t>
                  </w:r>
                </w:p>
              </w:tc>
              <w:tc>
                <w:tcPr>
                  <w:tcW w:w="382" w:type="pct"/>
                  <w:vAlign w:val="center"/>
                </w:tcPr>
                <w:p>
                  <w:pPr>
                    <w:jc w:val="center"/>
                  </w:pPr>
                  <w: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60" w:type="pct"/>
                  <w:vAlign w:val="center"/>
                </w:tcPr>
                <w:p>
                  <w:pPr>
                    <w:jc w:val="center"/>
                  </w:pPr>
                  <w:r>
                    <w:t>不敏感</w:t>
                  </w:r>
                </w:p>
              </w:tc>
              <w:tc>
                <w:tcPr>
                  <w:tcW w:w="382" w:type="pct"/>
                  <w:vAlign w:val="center"/>
                </w:tcPr>
                <w:p>
                  <w:pPr>
                    <w:jc w:val="center"/>
                  </w:pPr>
                  <w:r>
                    <w:t>一级</w:t>
                  </w:r>
                </w:p>
              </w:tc>
              <w:tc>
                <w:tcPr>
                  <w:tcW w:w="382" w:type="pct"/>
                  <w:vAlign w:val="center"/>
                </w:tcPr>
                <w:p>
                  <w:pPr>
                    <w:jc w:val="center"/>
                  </w:pPr>
                  <w:r>
                    <w:t>二级</w:t>
                  </w:r>
                </w:p>
              </w:tc>
              <w:tc>
                <w:tcPr>
                  <w:tcW w:w="382" w:type="pct"/>
                  <w:vAlign w:val="center"/>
                </w:tcPr>
                <w:p>
                  <w:pPr>
                    <w:jc w:val="center"/>
                  </w:pPr>
                  <w:r>
                    <w:t>二级</w:t>
                  </w:r>
                </w:p>
              </w:tc>
              <w:tc>
                <w:tcPr>
                  <w:tcW w:w="382" w:type="pct"/>
                  <w:vAlign w:val="center"/>
                </w:tcPr>
                <w:p>
                  <w:pPr>
                    <w:jc w:val="center"/>
                  </w:pPr>
                  <w:r>
                    <w:t>二级</w:t>
                  </w:r>
                </w:p>
              </w:tc>
              <w:tc>
                <w:tcPr>
                  <w:tcW w:w="382" w:type="pct"/>
                  <w:vAlign w:val="center"/>
                </w:tcPr>
                <w:p>
                  <w:pPr>
                    <w:jc w:val="center"/>
                  </w:pPr>
                  <w:r>
                    <w:t>三级</w:t>
                  </w:r>
                </w:p>
              </w:tc>
              <w:tc>
                <w:tcPr>
                  <w:tcW w:w="382" w:type="pct"/>
                  <w:vAlign w:val="center"/>
                </w:tcPr>
                <w:p>
                  <w:pPr>
                    <w:jc w:val="center"/>
                  </w:pPr>
                  <w:r>
                    <w:t>三级</w:t>
                  </w:r>
                </w:p>
              </w:tc>
              <w:tc>
                <w:tcPr>
                  <w:tcW w:w="382" w:type="pct"/>
                  <w:vAlign w:val="center"/>
                </w:tcPr>
                <w:p>
                  <w:pPr>
                    <w:jc w:val="center"/>
                  </w:pPr>
                  <w:r>
                    <w:t>—</w:t>
                  </w:r>
                </w:p>
              </w:tc>
              <w:tc>
                <w:tcPr>
                  <w:tcW w:w="382" w:type="pct"/>
                  <w:vAlign w:val="center"/>
                </w:tcPr>
                <w:p>
                  <w:pPr>
                    <w:jc w:val="center"/>
                  </w:pPr>
                  <w:r>
                    <w:t>—</w:t>
                  </w:r>
                </w:p>
              </w:tc>
              <w:tc>
                <w:tcPr>
                  <w:tcW w:w="382" w:type="pct"/>
                  <w:vAlign w:val="center"/>
                </w:tcPr>
                <w:p>
                  <w:pPr>
                    <w:jc w:val="center"/>
                  </w:pPr>
                  <w: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0"/>
                  <w:vAlign w:val="center"/>
                </w:tcPr>
                <w:p>
                  <w:r>
                    <w:t>注：“—”表示可不开展土壤环境影响评价工作</w:t>
                  </w:r>
                </w:p>
              </w:tc>
            </w:tr>
          </w:tbl>
          <w:p>
            <w:pPr>
              <w:spacing w:line="360" w:lineRule="auto"/>
              <w:ind w:firstLine="560" w:firstLineChars="200"/>
              <w:rPr>
                <w:sz w:val="28"/>
                <w:szCs w:val="28"/>
              </w:rPr>
            </w:pPr>
            <w:r>
              <w:rPr>
                <w:sz w:val="28"/>
                <w:szCs w:val="28"/>
              </w:rPr>
              <w:t>本项目属于“</w:t>
            </w:r>
            <w:r>
              <w:rPr>
                <w:rFonts w:hint="eastAsia" w:ascii="宋体" w:hAnsi="宋体" w:cs="宋体"/>
                <w:sz w:val="28"/>
                <w:szCs w:val="28"/>
              </w:rPr>
              <w:t>Ⅲ</w:t>
            </w:r>
            <w:r>
              <w:rPr>
                <w:sz w:val="28"/>
                <w:szCs w:val="28"/>
              </w:rPr>
              <w:t>类项目”，占地规模属于“小型”，环境敏感程度为“</w:t>
            </w:r>
            <w:r>
              <w:rPr>
                <w:rFonts w:hint="eastAsia"/>
                <w:sz w:val="28"/>
                <w:szCs w:val="28"/>
              </w:rPr>
              <w:t>不</w:t>
            </w:r>
            <w:r>
              <w:rPr>
                <w:sz w:val="28"/>
                <w:szCs w:val="28"/>
              </w:rPr>
              <w:t>敏感”，</w:t>
            </w:r>
            <w:r>
              <w:rPr>
                <w:rFonts w:hint="eastAsia"/>
                <w:sz w:val="28"/>
                <w:szCs w:val="28"/>
              </w:rPr>
              <w:t>根据上表识别，</w:t>
            </w:r>
            <w:r>
              <w:rPr>
                <w:sz w:val="28"/>
                <w:szCs w:val="28"/>
              </w:rPr>
              <w:t>本项目</w:t>
            </w:r>
            <w:r>
              <w:rPr>
                <w:rFonts w:hint="eastAsia"/>
                <w:sz w:val="28"/>
                <w:szCs w:val="28"/>
              </w:rPr>
              <w:t>可不进行土壤环境影响评价。</w:t>
            </w:r>
          </w:p>
          <w:p>
            <w:pPr>
              <w:spacing w:line="360" w:lineRule="auto"/>
              <w:ind w:firstLine="560" w:firstLineChars="200"/>
              <w:rPr>
                <w:rFonts w:ascii="Times New Roman" w:hAnsi="Times New Roman"/>
                <w:b/>
                <w:sz w:val="28"/>
                <w:szCs w:val="28"/>
              </w:rPr>
            </w:pPr>
            <w:r>
              <w:rPr>
                <w:rFonts w:hint="eastAsia" w:ascii="Times New Roman" w:hAnsi="Times New Roman"/>
                <w:b/>
                <w:sz w:val="28"/>
                <w:szCs w:val="28"/>
              </w:rPr>
              <w:t>6</w:t>
            </w:r>
            <w:r>
              <w:rPr>
                <w:rFonts w:ascii="Times New Roman" w:hAnsi="Times New Roman"/>
                <w:b/>
                <w:sz w:val="28"/>
                <w:szCs w:val="28"/>
              </w:rPr>
              <w:t xml:space="preserve"> 环境风险评价</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本次环境风险评价采用《建设项目环境风险评价技术导则》（HJ169-2018）中要求对建设项目的环境风险进行分析、计算和评估，提出环境风险预防、控制、减缓措施，明确环境风险监控及应急建议要求，为建设项目环境风险防控提供科学依据。</w:t>
            </w:r>
          </w:p>
          <w:p>
            <w:pPr>
              <w:spacing w:line="360" w:lineRule="auto"/>
              <w:ind w:firstLine="560" w:firstLineChars="200"/>
              <w:rPr>
                <w:rFonts w:ascii="Times New Roman" w:hAnsi="Times New Roman"/>
                <w:b/>
                <w:sz w:val="28"/>
                <w:szCs w:val="28"/>
              </w:rPr>
            </w:pPr>
            <w:r>
              <w:rPr>
                <w:rFonts w:hint="eastAsia" w:ascii="Times New Roman" w:hAnsi="Times New Roman"/>
                <w:b/>
                <w:sz w:val="28"/>
                <w:szCs w:val="28"/>
              </w:rPr>
              <w:t>（1） 评价依据</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① 风险调查</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根据《建设项目环境风险评价技术导则》（HJ/T 169-2018）对项目主要物料的毒性及其风险危害特性进行识别。本项目使用的机油属于《建设项目环境风险评价技术导则》（HJ/T169-2018）附录B中的化学物质：“油类物质”。</w:t>
            </w:r>
          </w:p>
          <w:p>
            <w:pPr>
              <w:spacing w:line="360" w:lineRule="auto"/>
              <w:ind w:firstLine="560" w:firstLineChars="200"/>
              <w:rPr>
                <w:rFonts w:ascii="Times New Roman" w:hAnsi="Times New Roman"/>
                <w:sz w:val="28"/>
                <w:szCs w:val="28"/>
              </w:rPr>
            </w:pPr>
            <w:r>
              <w:rPr>
                <w:rFonts w:ascii="Times New Roman" w:hAnsi="Times New Roman"/>
                <w:sz w:val="28"/>
                <w:szCs w:val="28"/>
              </w:rPr>
              <w:t>本项目贮存油品为汽油和柴油，它们的危险特性和理化性质等见表下表。</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47 </w:t>
            </w:r>
            <w:r>
              <w:rPr>
                <w:rFonts w:ascii="Times New Roman" w:hAnsi="Times New Roman"/>
                <w:b/>
                <w:sz w:val="24"/>
                <w:szCs w:val="24"/>
              </w:rPr>
              <w:t xml:space="preserve">   汽油的理化性质和危险特性</w:t>
            </w:r>
          </w:p>
          <w:tbl>
            <w:tblPr>
              <w:tblStyle w:val="26"/>
              <w:tblW w:w="8505" w:type="dxa"/>
              <w:jc w:val="center"/>
              <w:tblLayout w:type="autofit"/>
              <w:tblCellMar>
                <w:top w:w="0" w:type="dxa"/>
                <w:left w:w="108" w:type="dxa"/>
                <w:bottom w:w="0" w:type="dxa"/>
                <w:right w:w="108" w:type="dxa"/>
              </w:tblCellMar>
            </w:tblPr>
            <w:tblGrid>
              <w:gridCol w:w="1535"/>
              <w:gridCol w:w="2156"/>
              <w:gridCol w:w="2343"/>
              <w:gridCol w:w="406"/>
              <w:gridCol w:w="2065"/>
            </w:tblGrid>
            <w:tr>
              <w:tblPrEx>
                <w:tblCellMar>
                  <w:top w:w="0" w:type="dxa"/>
                  <w:left w:w="108" w:type="dxa"/>
                  <w:bottom w:w="0" w:type="dxa"/>
                  <w:right w:w="108" w:type="dxa"/>
                </w:tblCellMar>
              </w:tblPrEx>
              <w:trPr>
                <w:trHeight w:val="340" w:hRule="atLeast"/>
                <w:jc w:val="center"/>
              </w:trPr>
              <w:tc>
                <w:tcPr>
                  <w:tcW w:w="6440" w:type="dxa"/>
                  <w:gridSpan w:val="4"/>
                  <w:tcBorders>
                    <w:top w:val="single" w:color="000000" w:sz="12" w:space="0"/>
                    <w:bottom w:val="single" w:color="000000" w:sz="4" w:space="0"/>
                    <w:right w:val="nil"/>
                  </w:tcBorders>
                  <w:vAlign w:val="center"/>
                </w:tcPr>
                <w:p>
                  <w:pPr>
                    <w:widowControl/>
                    <w:snapToGrid w:val="0"/>
                    <w:jc w:val="left"/>
                    <w:rPr>
                      <w:rFonts w:ascii="Times New Roman" w:hAnsi="Times New Roman"/>
                      <w:kern w:val="0"/>
                      <w:szCs w:val="21"/>
                    </w:rPr>
                  </w:pPr>
                  <w:r>
                    <w:rPr>
                      <w:rFonts w:ascii="Times New Roman" w:hAnsi="Times New Roman"/>
                      <w:kern w:val="0"/>
                      <w:szCs w:val="21"/>
                    </w:rPr>
                    <w:t>第一部分    危险性概述</w:t>
                  </w:r>
                </w:p>
              </w:tc>
              <w:tc>
                <w:tcPr>
                  <w:tcW w:w="2065" w:type="dxa"/>
                  <w:tcBorders>
                    <w:top w:val="single" w:color="000000" w:sz="12" w:space="0"/>
                    <w:left w:val="nil"/>
                    <w:bottom w:val="single" w:color="000000" w:sz="4" w:space="0"/>
                  </w:tcBorders>
                  <w:vAlign w:val="center"/>
                </w:tcPr>
                <w:p>
                  <w:pPr>
                    <w:widowControl/>
                    <w:snapToGrid w:val="0"/>
                    <w:jc w:val="center"/>
                    <w:rPr>
                      <w:rFonts w:ascii="Times New Roman" w:hAnsi="Times New Roman"/>
                      <w:kern w:val="0"/>
                      <w:szCs w:val="21"/>
                    </w:rPr>
                  </w:pP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snapToGrid w:val="0"/>
                    <w:jc w:val="left"/>
                    <w:rPr>
                      <w:rFonts w:ascii="Times New Roman" w:hAnsi="Times New Roman"/>
                      <w:szCs w:val="21"/>
                    </w:rPr>
                  </w:pPr>
                  <w:r>
                    <w:rPr>
                      <w:rFonts w:ascii="Times New Roman" w:hAnsi="Times New Roman"/>
                      <w:szCs w:val="21"/>
                    </w:rPr>
                    <w:t>健康危害：</w:t>
                  </w:r>
                </w:p>
              </w:tc>
              <w:tc>
                <w:tcPr>
                  <w:tcW w:w="6970" w:type="dxa"/>
                  <w:gridSpan w:val="4"/>
                  <w:tcBorders>
                    <w:top w:val="single" w:color="000000" w:sz="4" w:space="0"/>
                    <w:left w:val="nil"/>
                    <w:bottom w:val="single" w:color="000000" w:sz="4" w:space="0"/>
                  </w:tcBorders>
                  <w:vAlign w:val="center"/>
                </w:tcPr>
                <w:p>
                  <w:pPr>
                    <w:snapToGrid w:val="0"/>
                    <w:jc w:val="center"/>
                    <w:rPr>
                      <w:rFonts w:ascii="Times New Roman" w:hAnsi="Times New Roman"/>
                      <w:szCs w:val="21"/>
                    </w:rPr>
                  </w:pPr>
                  <w:r>
                    <w:rPr>
                      <w:rFonts w:ascii="Times New Roman" w:hAnsi="Times New Roman"/>
                      <w:szCs w:val="21"/>
                    </w:rPr>
                    <w:t>主要作用于中枢神经系统，急性中毒症状有头晕、头痛、恶心、呕吐、步态不稳、共济失调。高浓度吸入出现中毒性脑病。极高浓度吸入引起意识突然丧失，反射性呼吸停止及化学性肺炎。可致角膜溃疡、穿孔、甚至失明。皮肤接触致急性接触性皮炎或过敏性皮炎。急性经口中毒引起急性胃肠炎，重者出现类似急性吸入中毒症状。慢性中毒：神经衰弱综合症，周围神经病，皮肤损害</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snapToGrid w:val="0"/>
                    <w:jc w:val="left"/>
                    <w:rPr>
                      <w:rFonts w:ascii="Times New Roman" w:hAnsi="Times New Roman"/>
                      <w:szCs w:val="21"/>
                    </w:rPr>
                  </w:pPr>
                  <w:r>
                    <w:rPr>
                      <w:rFonts w:ascii="Times New Roman" w:hAnsi="Times New Roman"/>
                      <w:szCs w:val="21"/>
                    </w:rPr>
                    <w:t>危险性类别：</w:t>
                  </w:r>
                </w:p>
              </w:tc>
              <w:tc>
                <w:tcPr>
                  <w:tcW w:w="6970" w:type="dxa"/>
                  <w:gridSpan w:val="4"/>
                  <w:tcBorders>
                    <w:top w:val="single" w:color="000000" w:sz="4" w:space="0"/>
                    <w:left w:val="nil"/>
                    <w:bottom w:val="single" w:color="000000" w:sz="4" w:space="0"/>
                  </w:tcBorders>
                  <w:vAlign w:val="center"/>
                </w:tcPr>
                <w:p>
                  <w:pPr>
                    <w:snapToGrid w:val="0"/>
                    <w:jc w:val="center"/>
                    <w:rPr>
                      <w:rFonts w:ascii="Times New Roman" w:hAnsi="Times New Roman"/>
                      <w:szCs w:val="21"/>
                    </w:rPr>
                  </w:pPr>
                  <w:r>
                    <w:rPr>
                      <w:rFonts w:ascii="Times New Roman" w:hAnsi="Times New Roman"/>
                      <w:szCs w:val="21"/>
                    </w:rPr>
                    <w:t>第3.</w:t>
                  </w:r>
                  <w:r>
                    <w:rPr>
                      <w:rFonts w:hint="eastAsia" w:ascii="Times New Roman" w:hAnsi="Times New Roman"/>
                      <w:szCs w:val="21"/>
                    </w:rPr>
                    <w:t>1</w:t>
                  </w:r>
                  <w:r>
                    <w:rPr>
                      <w:rFonts w:ascii="Times New Roman" w:hAnsi="Times New Roman"/>
                      <w:szCs w:val="21"/>
                    </w:rPr>
                    <w:t>类低闪点易燃液体。</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snapToGrid w:val="0"/>
                    <w:jc w:val="left"/>
                    <w:rPr>
                      <w:rFonts w:ascii="Times New Roman" w:hAnsi="Times New Roman"/>
                      <w:szCs w:val="21"/>
                    </w:rPr>
                  </w:pPr>
                  <w:r>
                    <w:rPr>
                      <w:rFonts w:ascii="Times New Roman" w:hAnsi="Times New Roman"/>
                      <w:szCs w:val="21"/>
                    </w:rPr>
                    <w:t>侵入途径：</w:t>
                  </w:r>
                </w:p>
              </w:tc>
              <w:tc>
                <w:tcPr>
                  <w:tcW w:w="6970" w:type="dxa"/>
                  <w:gridSpan w:val="4"/>
                  <w:tcBorders>
                    <w:top w:val="single" w:color="000000" w:sz="4" w:space="0"/>
                    <w:left w:val="nil"/>
                    <w:bottom w:val="single" w:color="000000" w:sz="4" w:space="0"/>
                  </w:tcBorders>
                  <w:vAlign w:val="center"/>
                </w:tcPr>
                <w:p>
                  <w:pPr>
                    <w:snapToGrid w:val="0"/>
                    <w:jc w:val="center"/>
                    <w:rPr>
                      <w:rFonts w:ascii="Times New Roman" w:hAnsi="Times New Roman"/>
                      <w:szCs w:val="21"/>
                    </w:rPr>
                  </w:pPr>
                  <w:r>
                    <w:rPr>
                      <w:rFonts w:ascii="Times New Roman" w:hAnsi="Times New Roman"/>
                      <w:szCs w:val="21"/>
                    </w:rPr>
                    <w:t>吸入、食入、经皮吸收。</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环境危害：</w:t>
                  </w:r>
                </w:p>
              </w:tc>
              <w:tc>
                <w:tcPr>
                  <w:tcW w:w="6970" w:type="dxa"/>
                  <w:gridSpan w:val="4"/>
                  <w:tcBorders>
                    <w:top w:val="single" w:color="000000" w:sz="4" w:space="0"/>
                    <w:left w:val="nil"/>
                    <w:bottom w:val="single" w:color="000000" w:sz="4" w:space="0"/>
                  </w:tcBorders>
                  <w:vAlign w:val="center"/>
                </w:tcPr>
                <w:p>
                  <w:pPr>
                    <w:widowControl/>
                    <w:snapToGrid w:val="0"/>
                    <w:jc w:val="center"/>
                    <w:rPr>
                      <w:rFonts w:ascii="Times New Roman" w:hAnsi="Times New Roman"/>
                      <w:kern w:val="0"/>
                      <w:szCs w:val="21"/>
                    </w:rPr>
                  </w:pPr>
                  <w:r>
                    <w:rPr>
                      <w:rFonts w:ascii="Times New Roman" w:hAnsi="Times New Roman"/>
                      <w:kern w:val="0"/>
                      <w:szCs w:val="21"/>
                    </w:rPr>
                    <w:t>该物质对环境有危害，应特别注意对地表水、土壤、大气和饮用水的污染。</w:t>
                  </w:r>
                </w:p>
              </w:tc>
            </w:tr>
            <w:tr>
              <w:tblPrEx>
                <w:tblCellMar>
                  <w:top w:w="0" w:type="dxa"/>
                  <w:left w:w="108" w:type="dxa"/>
                  <w:bottom w:w="0" w:type="dxa"/>
                  <w:right w:w="108" w:type="dxa"/>
                </w:tblCellMar>
              </w:tblPrEx>
              <w:trPr>
                <w:trHeight w:val="340" w:hRule="atLeast"/>
                <w:jc w:val="center"/>
              </w:trPr>
              <w:tc>
                <w:tcPr>
                  <w:tcW w:w="8505" w:type="dxa"/>
                  <w:gridSpan w:val="5"/>
                  <w:tcBorders>
                    <w:top w:val="single" w:color="000000" w:sz="4" w:space="0"/>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第二部分   理化特性</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外观及性状：</w:t>
                  </w:r>
                </w:p>
              </w:tc>
              <w:tc>
                <w:tcPr>
                  <w:tcW w:w="6970" w:type="dxa"/>
                  <w:gridSpan w:val="4"/>
                  <w:tcBorders>
                    <w:top w:val="single" w:color="000000" w:sz="4" w:space="0"/>
                    <w:left w:val="nil"/>
                    <w:bottom w:val="single" w:color="000000" w:sz="4" w:space="0"/>
                  </w:tcBorders>
                  <w:vAlign w:val="center"/>
                </w:tcPr>
                <w:p>
                  <w:pPr>
                    <w:widowControl/>
                    <w:snapToGrid w:val="0"/>
                    <w:jc w:val="center"/>
                    <w:rPr>
                      <w:rFonts w:ascii="Times New Roman" w:hAnsi="Times New Roman"/>
                      <w:kern w:val="0"/>
                      <w:szCs w:val="21"/>
                    </w:rPr>
                  </w:pPr>
                  <w:r>
                    <w:rPr>
                      <w:rFonts w:ascii="Times New Roman" w:hAnsi="Times New Roman"/>
                      <w:kern w:val="0"/>
                      <w:szCs w:val="21"/>
                    </w:rPr>
                    <w:t>无色或淡黄色易挥发液体，具有特殊臭味。</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熔点（</w:t>
                  </w:r>
                  <w:r>
                    <w:rPr>
                      <w:rFonts w:hint="eastAsia" w:ascii="宋体" w:hAnsi="宋体" w:cs="宋体"/>
                      <w:kern w:val="0"/>
                      <w:szCs w:val="21"/>
                    </w:rPr>
                    <w:t>℃</w:t>
                  </w:r>
                  <w:r>
                    <w:rPr>
                      <w:rFonts w:ascii="Times New Roman" w:hAnsi="Times New Roman"/>
                      <w:kern w:val="0"/>
                      <w:szCs w:val="21"/>
                    </w:rPr>
                    <w:t>）：</w:t>
                  </w:r>
                </w:p>
              </w:tc>
              <w:tc>
                <w:tcPr>
                  <w:tcW w:w="2156"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&lt;-60</w:t>
                  </w:r>
                </w:p>
              </w:tc>
              <w:tc>
                <w:tcPr>
                  <w:tcW w:w="2343"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相对密度（水＝1）</w:t>
                  </w:r>
                </w:p>
              </w:tc>
              <w:tc>
                <w:tcPr>
                  <w:tcW w:w="2471" w:type="dxa"/>
                  <w:gridSpan w:val="2"/>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0.70～0.79</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闪点（</w:t>
                  </w:r>
                  <w:r>
                    <w:rPr>
                      <w:rFonts w:hint="eastAsia" w:ascii="宋体" w:hAnsi="宋体" w:cs="宋体"/>
                      <w:kern w:val="0"/>
                      <w:szCs w:val="21"/>
                    </w:rPr>
                    <w:t>℃</w:t>
                  </w:r>
                  <w:r>
                    <w:rPr>
                      <w:rFonts w:ascii="Times New Roman" w:hAnsi="Times New Roman"/>
                      <w:kern w:val="0"/>
                      <w:szCs w:val="21"/>
                    </w:rPr>
                    <w:t>）：</w:t>
                  </w:r>
                </w:p>
              </w:tc>
              <w:tc>
                <w:tcPr>
                  <w:tcW w:w="2156"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-50</w:t>
                  </w:r>
                </w:p>
              </w:tc>
              <w:tc>
                <w:tcPr>
                  <w:tcW w:w="2343"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相对密度（空气=1）</w:t>
                  </w:r>
                </w:p>
              </w:tc>
              <w:tc>
                <w:tcPr>
                  <w:tcW w:w="2471" w:type="dxa"/>
                  <w:gridSpan w:val="2"/>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3.5</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引燃温度（</w:t>
                  </w:r>
                  <w:r>
                    <w:rPr>
                      <w:rFonts w:hint="eastAsia" w:ascii="宋体" w:hAnsi="宋体" w:cs="宋体"/>
                      <w:kern w:val="0"/>
                      <w:szCs w:val="21"/>
                    </w:rPr>
                    <w:t>℃</w:t>
                  </w:r>
                  <w:r>
                    <w:rPr>
                      <w:rFonts w:ascii="Times New Roman" w:hAnsi="Times New Roman"/>
                      <w:kern w:val="0"/>
                      <w:szCs w:val="21"/>
                    </w:rPr>
                    <w:t>）：</w:t>
                  </w:r>
                </w:p>
              </w:tc>
              <w:tc>
                <w:tcPr>
                  <w:tcW w:w="2156"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415～530</w:t>
                  </w:r>
                </w:p>
              </w:tc>
              <w:tc>
                <w:tcPr>
                  <w:tcW w:w="2343"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爆炸上限%（V/V）：</w:t>
                  </w:r>
                </w:p>
              </w:tc>
              <w:tc>
                <w:tcPr>
                  <w:tcW w:w="2471" w:type="dxa"/>
                  <w:gridSpan w:val="2"/>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6.0</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沸点（</w:t>
                  </w:r>
                  <w:r>
                    <w:rPr>
                      <w:rFonts w:hint="eastAsia" w:ascii="宋体" w:hAnsi="宋体" w:cs="宋体"/>
                      <w:kern w:val="0"/>
                      <w:szCs w:val="21"/>
                    </w:rPr>
                    <w:t>℃</w:t>
                  </w:r>
                  <w:r>
                    <w:rPr>
                      <w:rFonts w:ascii="Times New Roman" w:hAnsi="Times New Roman"/>
                      <w:kern w:val="0"/>
                      <w:szCs w:val="21"/>
                    </w:rPr>
                    <w:t>）：</w:t>
                  </w:r>
                </w:p>
              </w:tc>
              <w:tc>
                <w:tcPr>
                  <w:tcW w:w="2156"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40～200</w:t>
                  </w:r>
                </w:p>
              </w:tc>
              <w:tc>
                <w:tcPr>
                  <w:tcW w:w="2343"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爆炸下限%（V/V）：</w:t>
                  </w:r>
                </w:p>
              </w:tc>
              <w:tc>
                <w:tcPr>
                  <w:tcW w:w="2471" w:type="dxa"/>
                  <w:gridSpan w:val="2"/>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1.3</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溶解性：</w:t>
                  </w:r>
                </w:p>
              </w:tc>
              <w:tc>
                <w:tcPr>
                  <w:tcW w:w="6970" w:type="dxa"/>
                  <w:gridSpan w:val="4"/>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不溶于水、易溶于苯、二硫化碳、醇、易溶于脂肪。</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主要用途：</w:t>
                  </w:r>
                </w:p>
              </w:tc>
              <w:tc>
                <w:tcPr>
                  <w:tcW w:w="6970" w:type="dxa"/>
                  <w:gridSpan w:val="4"/>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主要用作汽油机的燃料，用于橡胶、制鞋、印刷、制革、等行业，也可用作机械零件的去污剂。</w:t>
                  </w:r>
                </w:p>
              </w:tc>
            </w:tr>
            <w:tr>
              <w:tblPrEx>
                <w:tblCellMar>
                  <w:top w:w="0" w:type="dxa"/>
                  <w:left w:w="108" w:type="dxa"/>
                  <w:bottom w:w="0" w:type="dxa"/>
                  <w:right w:w="108" w:type="dxa"/>
                </w:tblCellMar>
              </w:tblPrEx>
              <w:trPr>
                <w:trHeight w:val="340" w:hRule="atLeast"/>
                <w:jc w:val="center"/>
              </w:trPr>
              <w:tc>
                <w:tcPr>
                  <w:tcW w:w="8505" w:type="dxa"/>
                  <w:gridSpan w:val="5"/>
                  <w:tcBorders>
                    <w:top w:val="single" w:color="000000" w:sz="4" w:space="0"/>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第三部分   稳定性及化学活性</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稳定性：</w:t>
                  </w:r>
                </w:p>
              </w:tc>
              <w:tc>
                <w:tcPr>
                  <w:tcW w:w="2156"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稳定</w:t>
                  </w:r>
                </w:p>
              </w:tc>
              <w:tc>
                <w:tcPr>
                  <w:tcW w:w="2343"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避免接触的条件：</w:t>
                  </w:r>
                </w:p>
              </w:tc>
              <w:tc>
                <w:tcPr>
                  <w:tcW w:w="2471" w:type="dxa"/>
                  <w:gridSpan w:val="2"/>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明火、高热。</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禁配物：</w:t>
                  </w:r>
                </w:p>
              </w:tc>
              <w:tc>
                <w:tcPr>
                  <w:tcW w:w="2156"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强氧化剂</w:t>
                  </w:r>
                </w:p>
              </w:tc>
              <w:tc>
                <w:tcPr>
                  <w:tcW w:w="2343" w:type="dxa"/>
                  <w:tcBorders>
                    <w:top w:val="single" w:color="000000" w:sz="4" w:space="0"/>
                    <w:left w:val="nil"/>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聚合危害：</w:t>
                  </w:r>
                </w:p>
              </w:tc>
              <w:tc>
                <w:tcPr>
                  <w:tcW w:w="2471" w:type="dxa"/>
                  <w:gridSpan w:val="2"/>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不聚合</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分解产物：</w:t>
                  </w:r>
                </w:p>
              </w:tc>
              <w:tc>
                <w:tcPr>
                  <w:tcW w:w="6970" w:type="dxa"/>
                  <w:gridSpan w:val="4"/>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一氧化碳、二氧化碳。</w:t>
                  </w:r>
                </w:p>
              </w:tc>
            </w:tr>
            <w:tr>
              <w:tblPrEx>
                <w:tblCellMar>
                  <w:top w:w="0" w:type="dxa"/>
                  <w:left w:w="108" w:type="dxa"/>
                  <w:bottom w:w="0" w:type="dxa"/>
                  <w:right w:w="108" w:type="dxa"/>
                </w:tblCellMar>
              </w:tblPrEx>
              <w:trPr>
                <w:trHeight w:val="340" w:hRule="atLeast"/>
                <w:jc w:val="center"/>
              </w:trPr>
              <w:tc>
                <w:tcPr>
                  <w:tcW w:w="8505" w:type="dxa"/>
                  <w:gridSpan w:val="5"/>
                  <w:tcBorders>
                    <w:top w:val="single" w:color="000000" w:sz="4" w:space="0"/>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第四部分  毒理学资料</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急性毒性：</w:t>
                  </w:r>
                </w:p>
              </w:tc>
              <w:tc>
                <w:tcPr>
                  <w:tcW w:w="6970" w:type="dxa"/>
                  <w:gridSpan w:val="4"/>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LD50 80000mg/kg（小鼠经口），（120号溶剂汽油）</w:t>
                  </w:r>
                </w:p>
                <w:p>
                  <w:pPr>
                    <w:widowControl/>
                    <w:snapToGrid w:val="0"/>
                    <w:jc w:val="left"/>
                    <w:rPr>
                      <w:rFonts w:ascii="Times New Roman" w:hAnsi="Times New Roman"/>
                      <w:kern w:val="0"/>
                      <w:szCs w:val="21"/>
                    </w:rPr>
                  </w:pPr>
                  <w:r>
                    <w:rPr>
                      <w:rFonts w:ascii="Times New Roman" w:hAnsi="Times New Roman"/>
                      <w:kern w:val="0"/>
                      <w:szCs w:val="21"/>
                    </w:rPr>
                    <w:t>LC50  103000mg/m</w:t>
                  </w:r>
                  <w:r>
                    <w:rPr>
                      <w:rFonts w:ascii="Times New Roman" w:hAnsi="Times New Roman"/>
                      <w:kern w:val="0"/>
                      <w:szCs w:val="21"/>
                      <w:vertAlign w:val="superscript"/>
                    </w:rPr>
                    <w:t>3</w:t>
                  </w:r>
                  <w:r>
                    <w:rPr>
                      <w:rFonts w:ascii="Times New Roman" w:hAnsi="Times New Roman"/>
                      <w:kern w:val="0"/>
                      <w:szCs w:val="21"/>
                    </w:rPr>
                    <w:t>小鼠，2小时（120号溶剂汽油）</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急性中毒：</w:t>
                  </w:r>
                </w:p>
              </w:tc>
              <w:tc>
                <w:tcPr>
                  <w:tcW w:w="6970" w:type="dxa"/>
                  <w:gridSpan w:val="4"/>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高浓度吸入出现中毒性脑病。极高浓度吸入引起意识突然丧失、反射性呼吸停止和化学性肺炎。可致角膜溃疡、穿孔，甚至失明。皮肤接触致急性接触性皮炎或过敏性皮炎。急性经口中毒引起急性胃肠炎；重者出现类似急性吸入中毒症状</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慢性中毒：</w:t>
                  </w:r>
                </w:p>
              </w:tc>
              <w:tc>
                <w:tcPr>
                  <w:tcW w:w="6970" w:type="dxa"/>
                  <w:gridSpan w:val="4"/>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神经衰弱综合症，周围神经病，皮肤损害</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4"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刺激性：</w:t>
                  </w:r>
                </w:p>
              </w:tc>
              <w:tc>
                <w:tcPr>
                  <w:tcW w:w="6970" w:type="dxa"/>
                  <w:gridSpan w:val="4"/>
                  <w:tcBorders>
                    <w:top w:val="single" w:color="000000" w:sz="4" w:space="0"/>
                    <w:left w:val="nil"/>
                    <w:bottom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人经眼：140ppm（8小时），轻度刺激</w:t>
                  </w:r>
                </w:p>
              </w:tc>
            </w:tr>
            <w:tr>
              <w:tblPrEx>
                <w:tblCellMar>
                  <w:top w:w="0" w:type="dxa"/>
                  <w:left w:w="108" w:type="dxa"/>
                  <w:bottom w:w="0" w:type="dxa"/>
                  <w:right w:w="108" w:type="dxa"/>
                </w:tblCellMar>
              </w:tblPrEx>
              <w:trPr>
                <w:trHeight w:val="340" w:hRule="atLeast"/>
                <w:jc w:val="center"/>
              </w:trPr>
              <w:tc>
                <w:tcPr>
                  <w:tcW w:w="1535" w:type="dxa"/>
                  <w:tcBorders>
                    <w:top w:val="single" w:color="000000" w:sz="4" w:space="0"/>
                    <w:bottom w:val="single" w:color="000000" w:sz="12" w:space="0"/>
                    <w:right w:val="single" w:color="000000" w:sz="4"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最高容许浓度</w:t>
                  </w:r>
                </w:p>
              </w:tc>
              <w:tc>
                <w:tcPr>
                  <w:tcW w:w="6970" w:type="dxa"/>
                  <w:gridSpan w:val="4"/>
                  <w:tcBorders>
                    <w:top w:val="single" w:color="000000" w:sz="4" w:space="0"/>
                    <w:left w:val="nil"/>
                    <w:bottom w:val="single" w:color="000000" w:sz="12" w:space="0"/>
                  </w:tcBorders>
                  <w:vAlign w:val="center"/>
                </w:tcPr>
                <w:p>
                  <w:pPr>
                    <w:widowControl/>
                    <w:snapToGrid w:val="0"/>
                    <w:jc w:val="left"/>
                    <w:rPr>
                      <w:rFonts w:ascii="Times New Roman" w:hAnsi="Times New Roman"/>
                      <w:kern w:val="0"/>
                      <w:szCs w:val="21"/>
                    </w:rPr>
                  </w:pPr>
                  <w:r>
                    <w:rPr>
                      <w:rFonts w:ascii="Times New Roman" w:hAnsi="Times New Roman"/>
                      <w:kern w:val="0"/>
                      <w:szCs w:val="21"/>
                    </w:rPr>
                    <w:t>300mg/m</w:t>
                  </w:r>
                  <w:r>
                    <w:rPr>
                      <w:rFonts w:ascii="Times New Roman" w:hAnsi="Times New Roman"/>
                      <w:kern w:val="0"/>
                      <w:szCs w:val="21"/>
                      <w:vertAlign w:val="superscript"/>
                    </w:rPr>
                    <w:t>3</w:t>
                  </w:r>
                </w:p>
              </w:tc>
            </w:tr>
          </w:tbl>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48</w:t>
            </w:r>
            <w:r>
              <w:rPr>
                <w:rFonts w:ascii="Times New Roman" w:hAnsi="Times New Roman"/>
                <w:b/>
                <w:sz w:val="24"/>
                <w:szCs w:val="24"/>
              </w:rPr>
              <w:t xml:space="preserve">    柴油的理化性质和危险特性</w:t>
            </w:r>
          </w:p>
          <w:tbl>
            <w:tblPr>
              <w:tblStyle w:val="26"/>
              <w:tblW w:w="8505"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1533"/>
              <w:gridCol w:w="2695"/>
              <w:gridCol w:w="1985"/>
              <w:gridCol w:w="2292"/>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05" w:type="dxa"/>
                  <w:gridSpan w:val="4"/>
                  <w:vAlign w:val="center"/>
                </w:tcPr>
                <w:p>
                  <w:pPr>
                    <w:widowControl/>
                    <w:spacing w:line="300" w:lineRule="exact"/>
                    <w:rPr>
                      <w:rFonts w:ascii="Times New Roman" w:hAnsi="Times New Roman"/>
                      <w:kern w:val="0"/>
                      <w:szCs w:val="21"/>
                    </w:rPr>
                  </w:pPr>
                  <w:r>
                    <w:rPr>
                      <w:rFonts w:ascii="Times New Roman" w:hAnsi="Times New Roman"/>
                      <w:kern w:val="0"/>
                      <w:szCs w:val="21"/>
                    </w:rPr>
                    <w:t>第一部分  危险性概述</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危险性类别：</w:t>
                  </w:r>
                </w:p>
              </w:tc>
              <w:tc>
                <w:tcPr>
                  <w:tcW w:w="2695" w:type="dxa"/>
                  <w:vAlign w:val="center"/>
                </w:tcPr>
                <w:p>
                  <w:pPr>
                    <w:widowControl/>
                    <w:spacing w:line="300" w:lineRule="exact"/>
                    <w:rPr>
                      <w:rFonts w:ascii="Times New Roman" w:hAnsi="Times New Roman"/>
                      <w:kern w:val="0"/>
                      <w:szCs w:val="21"/>
                    </w:rPr>
                  </w:pPr>
                  <w:r>
                    <w:rPr>
                      <w:rFonts w:ascii="Times New Roman" w:hAnsi="Times New Roman"/>
                      <w:kern w:val="0"/>
                      <w:szCs w:val="21"/>
                    </w:rPr>
                    <w:t>第3.3类高闪点 易燃液体</w:t>
                  </w:r>
                </w:p>
              </w:tc>
              <w:tc>
                <w:tcPr>
                  <w:tcW w:w="1985" w:type="dxa"/>
                  <w:vAlign w:val="center"/>
                </w:tcPr>
                <w:p>
                  <w:pPr>
                    <w:widowControl/>
                    <w:spacing w:line="300" w:lineRule="exact"/>
                    <w:rPr>
                      <w:rFonts w:ascii="Times New Roman" w:hAnsi="Times New Roman"/>
                      <w:kern w:val="0"/>
                      <w:szCs w:val="21"/>
                    </w:rPr>
                  </w:pPr>
                  <w:r>
                    <w:rPr>
                      <w:rFonts w:ascii="Times New Roman" w:hAnsi="Times New Roman"/>
                      <w:kern w:val="0"/>
                      <w:szCs w:val="21"/>
                    </w:rPr>
                    <w:t>燃爆危险：</w:t>
                  </w:r>
                </w:p>
              </w:tc>
              <w:tc>
                <w:tcPr>
                  <w:tcW w:w="2292" w:type="dxa"/>
                  <w:vAlign w:val="center"/>
                </w:tcPr>
                <w:p>
                  <w:pPr>
                    <w:widowControl/>
                    <w:spacing w:line="300" w:lineRule="exact"/>
                    <w:rPr>
                      <w:rFonts w:ascii="Times New Roman" w:hAnsi="Times New Roman"/>
                      <w:kern w:val="0"/>
                      <w:szCs w:val="21"/>
                    </w:rPr>
                  </w:pPr>
                  <w:r>
                    <w:rPr>
                      <w:rFonts w:ascii="Times New Roman" w:hAnsi="Times New Roman"/>
                      <w:kern w:val="0"/>
                      <w:szCs w:val="21"/>
                    </w:rPr>
                    <w:t>易燃</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侵入途径：</w:t>
                  </w:r>
                </w:p>
              </w:tc>
              <w:tc>
                <w:tcPr>
                  <w:tcW w:w="2695" w:type="dxa"/>
                  <w:vAlign w:val="center"/>
                </w:tcPr>
                <w:p>
                  <w:pPr>
                    <w:widowControl/>
                    <w:spacing w:line="300" w:lineRule="exact"/>
                    <w:rPr>
                      <w:rFonts w:ascii="Times New Roman" w:hAnsi="Times New Roman"/>
                      <w:spacing w:val="10"/>
                      <w:kern w:val="0"/>
                      <w:szCs w:val="21"/>
                    </w:rPr>
                  </w:pPr>
                  <w:r>
                    <w:rPr>
                      <w:rFonts w:ascii="Times New Roman" w:hAnsi="Times New Roman"/>
                      <w:spacing w:val="10"/>
                      <w:kern w:val="0"/>
                      <w:szCs w:val="21"/>
                    </w:rPr>
                    <w:t>吸入、食入、经皮吸收</w:t>
                  </w:r>
                </w:p>
              </w:tc>
              <w:tc>
                <w:tcPr>
                  <w:tcW w:w="1985" w:type="dxa"/>
                  <w:vAlign w:val="center"/>
                </w:tcPr>
                <w:p>
                  <w:pPr>
                    <w:widowControl/>
                    <w:spacing w:line="300" w:lineRule="exact"/>
                    <w:rPr>
                      <w:rFonts w:ascii="Times New Roman" w:hAnsi="Times New Roman"/>
                      <w:kern w:val="0"/>
                      <w:szCs w:val="21"/>
                    </w:rPr>
                  </w:pPr>
                  <w:r>
                    <w:rPr>
                      <w:rFonts w:ascii="Times New Roman" w:hAnsi="Times New Roman"/>
                      <w:kern w:val="0"/>
                      <w:szCs w:val="21"/>
                    </w:rPr>
                    <w:t>有害燃烧产物：</w:t>
                  </w:r>
                </w:p>
              </w:tc>
              <w:tc>
                <w:tcPr>
                  <w:tcW w:w="2292" w:type="dxa"/>
                  <w:vAlign w:val="center"/>
                </w:tcPr>
                <w:p>
                  <w:pPr>
                    <w:widowControl/>
                    <w:spacing w:line="300" w:lineRule="exact"/>
                    <w:rPr>
                      <w:rFonts w:ascii="Times New Roman" w:hAnsi="Times New Roman"/>
                      <w:kern w:val="0"/>
                      <w:szCs w:val="21"/>
                    </w:rPr>
                  </w:pPr>
                  <w:r>
                    <w:rPr>
                      <w:rFonts w:ascii="Times New Roman" w:hAnsi="Times New Roman"/>
                      <w:kern w:val="0"/>
                      <w:szCs w:val="21"/>
                    </w:rPr>
                    <w:t>一氧化碳、二氧化碳</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环境危害：</w:t>
                  </w:r>
                </w:p>
              </w:tc>
              <w:tc>
                <w:tcPr>
                  <w:tcW w:w="6972" w:type="dxa"/>
                  <w:gridSpan w:val="3"/>
                  <w:vAlign w:val="center"/>
                </w:tcPr>
                <w:p>
                  <w:pPr>
                    <w:widowControl/>
                    <w:spacing w:line="300" w:lineRule="exact"/>
                    <w:rPr>
                      <w:rFonts w:ascii="Times New Roman" w:hAnsi="Times New Roman"/>
                      <w:kern w:val="0"/>
                      <w:szCs w:val="21"/>
                    </w:rPr>
                  </w:pPr>
                  <w:r>
                    <w:rPr>
                      <w:rFonts w:ascii="Times New Roman" w:hAnsi="Times New Roman"/>
                      <w:kern w:val="0"/>
                      <w:szCs w:val="21"/>
                    </w:rPr>
                    <w:t>该物质对环境有危害，应特别注意对地表水、土壤、大气和饮用水的污染。</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05" w:type="dxa"/>
                  <w:gridSpan w:val="4"/>
                  <w:vAlign w:val="center"/>
                </w:tcPr>
                <w:p>
                  <w:pPr>
                    <w:widowControl/>
                    <w:spacing w:line="300" w:lineRule="exact"/>
                    <w:rPr>
                      <w:rFonts w:ascii="Times New Roman" w:hAnsi="Times New Roman"/>
                      <w:kern w:val="0"/>
                      <w:szCs w:val="21"/>
                    </w:rPr>
                  </w:pPr>
                  <w:r>
                    <w:rPr>
                      <w:rFonts w:ascii="Times New Roman" w:hAnsi="Times New Roman"/>
                      <w:kern w:val="0"/>
                      <w:szCs w:val="21"/>
                    </w:rPr>
                    <w:t>第二部分   理化特性</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外观及性状：</w:t>
                  </w:r>
                </w:p>
              </w:tc>
              <w:tc>
                <w:tcPr>
                  <w:tcW w:w="2695" w:type="dxa"/>
                  <w:vAlign w:val="center"/>
                </w:tcPr>
                <w:p>
                  <w:pPr>
                    <w:widowControl/>
                    <w:spacing w:line="300" w:lineRule="exact"/>
                    <w:rPr>
                      <w:rFonts w:ascii="Times New Roman" w:hAnsi="Times New Roman"/>
                      <w:kern w:val="0"/>
                      <w:szCs w:val="21"/>
                    </w:rPr>
                  </w:pPr>
                  <w:r>
                    <w:rPr>
                      <w:rFonts w:ascii="Times New Roman" w:hAnsi="Times New Roman"/>
                      <w:kern w:val="0"/>
                      <w:szCs w:val="21"/>
                    </w:rPr>
                    <w:t>稍有粘性的棕色液体。</w:t>
                  </w:r>
                </w:p>
              </w:tc>
              <w:tc>
                <w:tcPr>
                  <w:tcW w:w="1985" w:type="dxa"/>
                  <w:vAlign w:val="center"/>
                </w:tcPr>
                <w:p>
                  <w:pPr>
                    <w:widowControl/>
                    <w:spacing w:line="300" w:lineRule="exact"/>
                    <w:rPr>
                      <w:rFonts w:ascii="Times New Roman" w:hAnsi="Times New Roman"/>
                      <w:kern w:val="0"/>
                      <w:szCs w:val="21"/>
                    </w:rPr>
                  </w:pPr>
                  <w:r>
                    <w:rPr>
                      <w:rFonts w:ascii="Times New Roman" w:hAnsi="Times New Roman"/>
                      <w:kern w:val="0"/>
                      <w:szCs w:val="21"/>
                    </w:rPr>
                    <w:t>主要用途：</w:t>
                  </w:r>
                </w:p>
              </w:tc>
              <w:tc>
                <w:tcPr>
                  <w:tcW w:w="2292" w:type="dxa"/>
                  <w:vAlign w:val="center"/>
                </w:tcPr>
                <w:p>
                  <w:pPr>
                    <w:widowControl/>
                    <w:spacing w:line="300" w:lineRule="exact"/>
                    <w:rPr>
                      <w:rFonts w:ascii="Times New Roman" w:hAnsi="Times New Roman"/>
                      <w:kern w:val="0"/>
                      <w:szCs w:val="21"/>
                    </w:rPr>
                  </w:pPr>
                  <w:r>
                    <w:rPr>
                      <w:rFonts w:ascii="Times New Roman" w:hAnsi="Times New Roman"/>
                      <w:kern w:val="0"/>
                      <w:szCs w:val="21"/>
                    </w:rPr>
                    <w:t>用作柴油机的燃料等。</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闪点（</w:t>
                  </w:r>
                  <w:r>
                    <w:rPr>
                      <w:rFonts w:hint="eastAsia" w:ascii="宋体" w:hAnsi="宋体" w:cs="宋体"/>
                      <w:kern w:val="0"/>
                      <w:szCs w:val="21"/>
                    </w:rPr>
                    <w:t>℃</w:t>
                  </w:r>
                  <w:r>
                    <w:rPr>
                      <w:rFonts w:ascii="Times New Roman" w:hAnsi="Times New Roman"/>
                      <w:kern w:val="0"/>
                      <w:szCs w:val="21"/>
                    </w:rPr>
                    <w:t>）：</w:t>
                  </w:r>
                </w:p>
              </w:tc>
              <w:tc>
                <w:tcPr>
                  <w:tcW w:w="2695" w:type="dxa"/>
                  <w:vAlign w:val="center"/>
                </w:tcPr>
                <w:p>
                  <w:pPr>
                    <w:widowControl/>
                    <w:rPr>
                      <w:rFonts w:ascii="Times New Roman" w:hAnsi="Times New Roman"/>
                      <w:kern w:val="0"/>
                      <w:szCs w:val="21"/>
                    </w:rPr>
                  </w:pPr>
                  <w:r>
                    <w:rPr>
                      <w:rFonts w:ascii="Times New Roman" w:hAnsi="Times New Roman"/>
                      <w:kern w:val="0"/>
                      <w:szCs w:val="21"/>
                    </w:rPr>
                    <w:t>45～55</w:t>
                  </w:r>
                  <w:r>
                    <w:rPr>
                      <w:rFonts w:hint="eastAsia" w:ascii="宋体" w:hAnsi="宋体" w:cs="宋体"/>
                      <w:kern w:val="0"/>
                      <w:szCs w:val="21"/>
                    </w:rPr>
                    <w:t>℃</w:t>
                  </w:r>
                </w:p>
              </w:tc>
              <w:tc>
                <w:tcPr>
                  <w:tcW w:w="1985" w:type="dxa"/>
                  <w:vAlign w:val="center"/>
                </w:tcPr>
                <w:p>
                  <w:pPr>
                    <w:widowControl/>
                    <w:rPr>
                      <w:rFonts w:ascii="Times New Roman" w:hAnsi="Times New Roman"/>
                      <w:kern w:val="0"/>
                      <w:szCs w:val="21"/>
                    </w:rPr>
                  </w:pPr>
                  <w:r>
                    <w:rPr>
                      <w:rFonts w:ascii="Times New Roman" w:hAnsi="Times New Roman"/>
                      <w:kern w:val="0"/>
                      <w:szCs w:val="21"/>
                    </w:rPr>
                    <w:t>相对密度（水＝1）：</w:t>
                  </w:r>
                </w:p>
              </w:tc>
              <w:tc>
                <w:tcPr>
                  <w:tcW w:w="2292" w:type="dxa"/>
                  <w:vAlign w:val="center"/>
                </w:tcPr>
                <w:p>
                  <w:pPr>
                    <w:widowControl/>
                    <w:rPr>
                      <w:rFonts w:ascii="Times New Roman" w:hAnsi="Times New Roman"/>
                      <w:kern w:val="0"/>
                      <w:szCs w:val="21"/>
                    </w:rPr>
                  </w:pPr>
                  <w:r>
                    <w:rPr>
                      <w:rFonts w:ascii="Times New Roman" w:hAnsi="Times New Roman"/>
                      <w:kern w:val="0"/>
                      <w:szCs w:val="21"/>
                    </w:rPr>
                    <w:t>0.87～0.9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沸点（</w:t>
                  </w:r>
                  <w:r>
                    <w:rPr>
                      <w:rFonts w:hint="eastAsia" w:ascii="宋体" w:hAnsi="宋体" w:cs="宋体"/>
                      <w:kern w:val="0"/>
                      <w:szCs w:val="21"/>
                    </w:rPr>
                    <w:t>℃</w:t>
                  </w:r>
                  <w:r>
                    <w:rPr>
                      <w:rFonts w:ascii="Times New Roman" w:hAnsi="Times New Roman"/>
                      <w:kern w:val="0"/>
                      <w:szCs w:val="21"/>
                    </w:rPr>
                    <w:t>）：</w:t>
                  </w:r>
                </w:p>
              </w:tc>
              <w:tc>
                <w:tcPr>
                  <w:tcW w:w="2695" w:type="dxa"/>
                  <w:vAlign w:val="center"/>
                </w:tcPr>
                <w:p>
                  <w:pPr>
                    <w:widowControl/>
                    <w:rPr>
                      <w:rFonts w:ascii="Times New Roman" w:hAnsi="Times New Roman"/>
                      <w:kern w:val="0"/>
                      <w:szCs w:val="21"/>
                    </w:rPr>
                  </w:pPr>
                  <w:r>
                    <w:rPr>
                      <w:rFonts w:ascii="Times New Roman" w:hAnsi="Times New Roman"/>
                      <w:kern w:val="0"/>
                      <w:szCs w:val="21"/>
                    </w:rPr>
                    <w:t>200～350</w:t>
                  </w:r>
                  <w:r>
                    <w:rPr>
                      <w:rFonts w:hint="eastAsia" w:ascii="宋体" w:hAnsi="宋体" w:cs="宋体"/>
                      <w:kern w:val="0"/>
                      <w:szCs w:val="21"/>
                    </w:rPr>
                    <w:t>℃</w:t>
                  </w:r>
                </w:p>
              </w:tc>
              <w:tc>
                <w:tcPr>
                  <w:tcW w:w="1985" w:type="dxa"/>
                  <w:vAlign w:val="center"/>
                </w:tcPr>
                <w:p>
                  <w:pPr>
                    <w:widowControl/>
                    <w:rPr>
                      <w:rFonts w:ascii="Times New Roman" w:hAnsi="Times New Roman"/>
                      <w:kern w:val="0"/>
                      <w:szCs w:val="21"/>
                    </w:rPr>
                  </w:pPr>
                  <w:r>
                    <w:rPr>
                      <w:rFonts w:ascii="Times New Roman" w:hAnsi="Times New Roman"/>
                      <w:kern w:val="0"/>
                      <w:szCs w:val="21"/>
                    </w:rPr>
                    <w:t>爆炸上限%（V/V）：</w:t>
                  </w:r>
                </w:p>
              </w:tc>
              <w:tc>
                <w:tcPr>
                  <w:tcW w:w="2292" w:type="dxa"/>
                  <w:vAlign w:val="center"/>
                </w:tcPr>
                <w:p>
                  <w:pPr>
                    <w:widowControl/>
                    <w:rPr>
                      <w:rFonts w:ascii="Times New Roman" w:hAnsi="Times New Roman"/>
                      <w:kern w:val="0"/>
                      <w:szCs w:val="21"/>
                    </w:rPr>
                  </w:pPr>
                  <w:r>
                    <w:rPr>
                      <w:rFonts w:ascii="Times New Roman" w:hAnsi="Times New Roman"/>
                      <w:kern w:val="0"/>
                      <w:szCs w:val="21"/>
                    </w:rPr>
                    <w:t>4.5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自然点（</w:t>
                  </w:r>
                  <w:r>
                    <w:rPr>
                      <w:rFonts w:hint="eastAsia" w:ascii="宋体" w:hAnsi="宋体" w:cs="宋体"/>
                      <w:kern w:val="0"/>
                      <w:szCs w:val="21"/>
                    </w:rPr>
                    <w:t>℃</w:t>
                  </w:r>
                  <w:r>
                    <w:rPr>
                      <w:rFonts w:ascii="Times New Roman" w:hAnsi="Times New Roman"/>
                      <w:kern w:val="0"/>
                      <w:szCs w:val="21"/>
                    </w:rPr>
                    <w:t>）：</w:t>
                  </w:r>
                </w:p>
              </w:tc>
              <w:tc>
                <w:tcPr>
                  <w:tcW w:w="2695" w:type="dxa"/>
                  <w:vAlign w:val="center"/>
                </w:tcPr>
                <w:p>
                  <w:pPr>
                    <w:widowControl/>
                    <w:rPr>
                      <w:rFonts w:ascii="Times New Roman" w:hAnsi="Times New Roman"/>
                      <w:kern w:val="0"/>
                      <w:szCs w:val="21"/>
                    </w:rPr>
                  </w:pPr>
                  <w:r>
                    <w:rPr>
                      <w:rFonts w:ascii="Times New Roman" w:hAnsi="Times New Roman"/>
                      <w:kern w:val="0"/>
                      <w:szCs w:val="21"/>
                    </w:rPr>
                    <w:t>257</w:t>
                  </w:r>
                </w:p>
              </w:tc>
              <w:tc>
                <w:tcPr>
                  <w:tcW w:w="1985" w:type="dxa"/>
                  <w:vAlign w:val="center"/>
                </w:tcPr>
                <w:p>
                  <w:pPr>
                    <w:widowControl/>
                    <w:rPr>
                      <w:rFonts w:ascii="Times New Roman" w:hAnsi="Times New Roman"/>
                      <w:kern w:val="0"/>
                      <w:szCs w:val="21"/>
                    </w:rPr>
                  </w:pPr>
                  <w:r>
                    <w:rPr>
                      <w:rFonts w:ascii="Times New Roman" w:hAnsi="Times New Roman"/>
                      <w:kern w:val="0"/>
                      <w:szCs w:val="21"/>
                    </w:rPr>
                    <w:t>爆炸下限%（V/V）：</w:t>
                  </w:r>
                </w:p>
              </w:tc>
              <w:tc>
                <w:tcPr>
                  <w:tcW w:w="2292" w:type="dxa"/>
                  <w:vAlign w:val="center"/>
                </w:tcPr>
                <w:p>
                  <w:pPr>
                    <w:widowControl/>
                    <w:rPr>
                      <w:rFonts w:ascii="Times New Roman" w:hAnsi="Times New Roman"/>
                      <w:kern w:val="0"/>
                      <w:szCs w:val="21"/>
                    </w:rPr>
                  </w:pPr>
                  <w:r>
                    <w:rPr>
                      <w:rFonts w:ascii="Times New Roman" w:hAnsi="Times New Roman"/>
                      <w:kern w:val="0"/>
                      <w:szCs w:val="21"/>
                    </w:rPr>
                    <w:t>1.5</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溶解性：</w:t>
                  </w:r>
                </w:p>
              </w:tc>
              <w:tc>
                <w:tcPr>
                  <w:tcW w:w="6972" w:type="dxa"/>
                  <w:gridSpan w:val="3"/>
                  <w:vAlign w:val="center"/>
                </w:tcPr>
                <w:p>
                  <w:pPr>
                    <w:widowControl/>
                    <w:spacing w:line="300" w:lineRule="exact"/>
                    <w:rPr>
                      <w:rFonts w:ascii="Times New Roman" w:hAnsi="Times New Roman"/>
                      <w:kern w:val="0"/>
                      <w:szCs w:val="21"/>
                    </w:rPr>
                  </w:pPr>
                  <w:r>
                    <w:rPr>
                      <w:rFonts w:ascii="Times New Roman" w:hAnsi="Times New Roman"/>
                      <w:kern w:val="0"/>
                      <w:szCs w:val="21"/>
                    </w:rPr>
                    <w:t>不溶于水，易溶于苯、二硫化碳、醇，易溶于脂肪。</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05" w:type="dxa"/>
                  <w:gridSpan w:val="4"/>
                  <w:vAlign w:val="center"/>
                </w:tcPr>
                <w:p>
                  <w:pPr>
                    <w:widowControl/>
                    <w:spacing w:line="300" w:lineRule="exact"/>
                    <w:rPr>
                      <w:rFonts w:ascii="Times New Roman" w:hAnsi="Times New Roman"/>
                      <w:kern w:val="0"/>
                      <w:szCs w:val="21"/>
                    </w:rPr>
                  </w:pPr>
                  <w:r>
                    <w:rPr>
                      <w:rFonts w:ascii="Times New Roman" w:hAnsi="Times New Roman"/>
                      <w:kern w:val="0"/>
                      <w:szCs w:val="21"/>
                    </w:rPr>
                    <w:t>第三部分   稳定性及化学活性</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稳定性：</w:t>
                  </w:r>
                </w:p>
              </w:tc>
              <w:tc>
                <w:tcPr>
                  <w:tcW w:w="2695" w:type="dxa"/>
                  <w:vAlign w:val="center"/>
                </w:tcPr>
                <w:p>
                  <w:pPr>
                    <w:widowControl/>
                    <w:rPr>
                      <w:rFonts w:ascii="Times New Roman" w:hAnsi="Times New Roman"/>
                      <w:kern w:val="0"/>
                      <w:szCs w:val="21"/>
                    </w:rPr>
                  </w:pPr>
                  <w:r>
                    <w:rPr>
                      <w:rFonts w:ascii="Times New Roman" w:hAnsi="Times New Roman"/>
                      <w:kern w:val="0"/>
                      <w:szCs w:val="21"/>
                    </w:rPr>
                    <w:t>稳定</w:t>
                  </w:r>
                </w:p>
              </w:tc>
              <w:tc>
                <w:tcPr>
                  <w:tcW w:w="1985" w:type="dxa"/>
                  <w:vAlign w:val="center"/>
                </w:tcPr>
                <w:p>
                  <w:pPr>
                    <w:widowControl/>
                    <w:rPr>
                      <w:rFonts w:ascii="Times New Roman" w:hAnsi="Times New Roman"/>
                      <w:kern w:val="0"/>
                      <w:szCs w:val="21"/>
                    </w:rPr>
                  </w:pPr>
                  <w:r>
                    <w:rPr>
                      <w:rFonts w:ascii="Times New Roman" w:hAnsi="Times New Roman"/>
                      <w:kern w:val="0"/>
                      <w:szCs w:val="21"/>
                    </w:rPr>
                    <w:t>避免接触的条件：</w:t>
                  </w:r>
                </w:p>
              </w:tc>
              <w:tc>
                <w:tcPr>
                  <w:tcW w:w="2292" w:type="dxa"/>
                  <w:vAlign w:val="center"/>
                </w:tcPr>
                <w:p>
                  <w:pPr>
                    <w:widowControl/>
                    <w:rPr>
                      <w:rFonts w:ascii="Times New Roman" w:hAnsi="Times New Roman"/>
                      <w:kern w:val="0"/>
                      <w:szCs w:val="21"/>
                    </w:rPr>
                  </w:pPr>
                  <w:r>
                    <w:rPr>
                      <w:rFonts w:ascii="Times New Roman" w:hAnsi="Times New Roman"/>
                      <w:kern w:val="0"/>
                      <w:szCs w:val="21"/>
                    </w:rPr>
                    <w:t>明火、高热</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禁配物：</w:t>
                  </w:r>
                </w:p>
              </w:tc>
              <w:tc>
                <w:tcPr>
                  <w:tcW w:w="2695" w:type="dxa"/>
                  <w:vAlign w:val="center"/>
                </w:tcPr>
                <w:p>
                  <w:pPr>
                    <w:widowControl/>
                    <w:rPr>
                      <w:rFonts w:ascii="Times New Roman" w:hAnsi="Times New Roman"/>
                      <w:kern w:val="0"/>
                      <w:szCs w:val="21"/>
                    </w:rPr>
                  </w:pPr>
                  <w:r>
                    <w:rPr>
                      <w:rFonts w:ascii="Times New Roman" w:hAnsi="Times New Roman"/>
                      <w:kern w:val="0"/>
                      <w:szCs w:val="21"/>
                    </w:rPr>
                    <w:t>强氧化剂、卤素</w:t>
                  </w:r>
                </w:p>
              </w:tc>
              <w:tc>
                <w:tcPr>
                  <w:tcW w:w="1985" w:type="dxa"/>
                  <w:vAlign w:val="center"/>
                </w:tcPr>
                <w:p>
                  <w:pPr>
                    <w:widowControl/>
                    <w:rPr>
                      <w:rFonts w:ascii="Times New Roman" w:hAnsi="Times New Roman"/>
                      <w:kern w:val="0"/>
                      <w:szCs w:val="21"/>
                    </w:rPr>
                  </w:pPr>
                  <w:r>
                    <w:rPr>
                      <w:rFonts w:ascii="Times New Roman" w:hAnsi="Times New Roman"/>
                      <w:kern w:val="0"/>
                      <w:szCs w:val="21"/>
                    </w:rPr>
                    <w:t>聚合危害：</w:t>
                  </w:r>
                </w:p>
              </w:tc>
              <w:tc>
                <w:tcPr>
                  <w:tcW w:w="2292" w:type="dxa"/>
                  <w:vAlign w:val="center"/>
                </w:tcPr>
                <w:p>
                  <w:pPr>
                    <w:widowControl/>
                    <w:rPr>
                      <w:rFonts w:ascii="Times New Roman" w:hAnsi="Times New Roman"/>
                      <w:kern w:val="0"/>
                      <w:szCs w:val="21"/>
                    </w:rPr>
                  </w:pPr>
                  <w:r>
                    <w:rPr>
                      <w:rFonts w:ascii="Times New Roman" w:hAnsi="Times New Roman"/>
                      <w:kern w:val="0"/>
                      <w:szCs w:val="21"/>
                    </w:rPr>
                    <w:t>不聚合</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分解产物：</w:t>
                  </w:r>
                </w:p>
              </w:tc>
              <w:tc>
                <w:tcPr>
                  <w:tcW w:w="6972" w:type="dxa"/>
                  <w:gridSpan w:val="3"/>
                  <w:vAlign w:val="center"/>
                </w:tcPr>
                <w:p>
                  <w:pPr>
                    <w:widowControl/>
                    <w:rPr>
                      <w:rFonts w:ascii="Times New Roman" w:hAnsi="Times New Roman"/>
                      <w:kern w:val="0"/>
                      <w:szCs w:val="21"/>
                    </w:rPr>
                  </w:pPr>
                  <w:r>
                    <w:rPr>
                      <w:rFonts w:ascii="Times New Roman" w:hAnsi="Times New Roman"/>
                      <w:kern w:val="0"/>
                      <w:szCs w:val="21"/>
                    </w:rPr>
                    <w:t>一氧化碳、二氧化碳</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505" w:type="dxa"/>
                  <w:gridSpan w:val="4"/>
                  <w:vAlign w:val="center"/>
                </w:tcPr>
                <w:p>
                  <w:pPr>
                    <w:widowControl/>
                    <w:spacing w:line="300" w:lineRule="exact"/>
                    <w:rPr>
                      <w:rFonts w:ascii="Times New Roman" w:hAnsi="Times New Roman"/>
                      <w:kern w:val="0"/>
                      <w:szCs w:val="21"/>
                    </w:rPr>
                  </w:pPr>
                  <w:r>
                    <w:rPr>
                      <w:rFonts w:ascii="Times New Roman" w:hAnsi="Times New Roman"/>
                      <w:kern w:val="0"/>
                      <w:szCs w:val="21"/>
                    </w:rPr>
                    <w:t>第四部分   毒理学资料</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急性毒性：</w:t>
                  </w:r>
                </w:p>
              </w:tc>
              <w:tc>
                <w:tcPr>
                  <w:tcW w:w="6972" w:type="dxa"/>
                  <w:gridSpan w:val="3"/>
                  <w:vAlign w:val="center"/>
                </w:tcPr>
                <w:p>
                  <w:pPr>
                    <w:widowControl/>
                    <w:spacing w:line="300" w:lineRule="exact"/>
                    <w:rPr>
                      <w:rFonts w:ascii="Times New Roman" w:hAnsi="Times New Roman"/>
                      <w:kern w:val="0"/>
                      <w:szCs w:val="21"/>
                    </w:rPr>
                  </w:pPr>
                  <w:r>
                    <w:rPr>
                      <w:rFonts w:ascii="Times New Roman" w:hAnsi="Times New Roman"/>
                      <w:kern w:val="0"/>
                      <w:szCs w:val="21"/>
                    </w:rPr>
                    <w:t xml:space="preserve">LD50       LC50 </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急性中毒：</w:t>
                  </w:r>
                </w:p>
              </w:tc>
              <w:tc>
                <w:tcPr>
                  <w:tcW w:w="6972" w:type="dxa"/>
                  <w:gridSpan w:val="3"/>
                  <w:vAlign w:val="center"/>
                </w:tcPr>
                <w:p>
                  <w:pPr>
                    <w:widowControl/>
                    <w:spacing w:line="300" w:lineRule="exact"/>
                    <w:rPr>
                      <w:rFonts w:ascii="Times New Roman" w:hAnsi="Times New Roman"/>
                      <w:kern w:val="0"/>
                      <w:szCs w:val="21"/>
                    </w:rPr>
                  </w:pPr>
                  <w:r>
                    <w:rPr>
                      <w:rFonts w:ascii="Times New Roman" w:hAnsi="Times New Roman"/>
                      <w:kern w:val="0"/>
                      <w:szCs w:val="21"/>
                    </w:rPr>
                    <w:t>皮肤接触柴油可引起接触性皮炎、油性痤疮，吸入可引起吸入性肺炎，能经胎盘进入胎儿血中。</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慢性中毒：</w:t>
                  </w:r>
                </w:p>
              </w:tc>
              <w:tc>
                <w:tcPr>
                  <w:tcW w:w="6972" w:type="dxa"/>
                  <w:gridSpan w:val="3"/>
                  <w:vAlign w:val="center"/>
                </w:tcPr>
                <w:p>
                  <w:pPr>
                    <w:widowControl/>
                    <w:spacing w:line="300" w:lineRule="exact"/>
                    <w:rPr>
                      <w:rFonts w:ascii="Times New Roman" w:hAnsi="Times New Roman"/>
                      <w:kern w:val="0"/>
                      <w:szCs w:val="21"/>
                    </w:rPr>
                  </w:pPr>
                  <w:r>
                    <w:rPr>
                      <w:rFonts w:ascii="Times New Roman" w:hAnsi="Times New Roman"/>
                      <w:kern w:val="0"/>
                      <w:szCs w:val="21"/>
                    </w:rPr>
                    <w:t>柴油废气可引起眼、鼻刺激症状，头痛。</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刺激性：</w:t>
                  </w:r>
                </w:p>
              </w:tc>
              <w:tc>
                <w:tcPr>
                  <w:tcW w:w="6972" w:type="dxa"/>
                  <w:gridSpan w:val="3"/>
                  <w:vAlign w:val="center"/>
                </w:tcPr>
                <w:p>
                  <w:pPr>
                    <w:widowControl/>
                    <w:spacing w:line="300" w:lineRule="exact"/>
                    <w:rPr>
                      <w:rFonts w:ascii="Times New Roman" w:hAnsi="Times New Roman"/>
                      <w:kern w:val="0"/>
                      <w:szCs w:val="21"/>
                    </w:rPr>
                  </w:pPr>
                  <w:r>
                    <w:rPr>
                      <w:rFonts w:ascii="Times New Roman" w:hAnsi="Times New Roman"/>
                      <w:kern w:val="0"/>
                      <w:szCs w:val="21"/>
                    </w:rPr>
                    <w:t>具有刺激作用</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533" w:type="dxa"/>
                  <w:vAlign w:val="center"/>
                </w:tcPr>
                <w:p>
                  <w:pPr>
                    <w:widowControl/>
                    <w:spacing w:line="300" w:lineRule="exact"/>
                    <w:rPr>
                      <w:rFonts w:ascii="Times New Roman" w:hAnsi="Times New Roman"/>
                      <w:kern w:val="0"/>
                      <w:szCs w:val="21"/>
                    </w:rPr>
                  </w:pPr>
                  <w:r>
                    <w:rPr>
                      <w:rFonts w:ascii="Times New Roman" w:hAnsi="Times New Roman"/>
                      <w:kern w:val="0"/>
                      <w:szCs w:val="21"/>
                    </w:rPr>
                    <w:t>最高容许浓度</w:t>
                  </w:r>
                </w:p>
              </w:tc>
              <w:tc>
                <w:tcPr>
                  <w:tcW w:w="6972" w:type="dxa"/>
                  <w:gridSpan w:val="3"/>
                  <w:vAlign w:val="center"/>
                </w:tcPr>
                <w:p>
                  <w:pPr>
                    <w:widowControl/>
                    <w:spacing w:line="300" w:lineRule="exact"/>
                    <w:rPr>
                      <w:rFonts w:ascii="Times New Roman" w:hAnsi="Times New Roman"/>
                      <w:kern w:val="0"/>
                      <w:szCs w:val="21"/>
                    </w:rPr>
                  </w:pPr>
                  <w:r>
                    <w:rPr>
                      <w:rFonts w:ascii="Times New Roman" w:hAnsi="Times New Roman"/>
                      <w:kern w:val="0"/>
                      <w:szCs w:val="21"/>
                    </w:rPr>
                    <w:t>目前无标准</w:t>
                  </w:r>
                </w:p>
              </w:tc>
            </w:tr>
          </w:tbl>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② 风险潜势初判</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根据建设项目涉及的物质和工艺系统的危险性及其所在地的环境敏感程度，结合事故情形下环境影响途径，对建设项目潜在环境危害程度进行概化分析，按照下表确定环境风险潜势。</w:t>
            </w:r>
          </w:p>
          <w:p>
            <w:pPr>
              <w:spacing w:line="360" w:lineRule="auto"/>
              <w:jc w:val="center"/>
              <w:rPr>
                <w:b/>
                <w:sz w:val="24"/>
                <w:szCs w:val="24"/>
              </w:rPr>
            </w:pPr>
            <w:r>
              <w:rPr>
                <w:b/>
                <w:sz w:val="24"/>
                <w:szCs w:val="24"/>
              </w:rPr>
              <w:t>表</w:t>
            </w:r>
            <w:r>
              <w:rPr>
                <w:rFonts w:hint="eastAsia"/>
                <w:b/>
                <w:sz w:val="24"/>
                <w:szCs w:val="24"/>
              </w:rPr>
              <w:t xml:space="preserve">49  </w:t>
            </w:r>
            <w:r>
              <w:rPr>
                <w:b/>
                <w:sz w:val="24"/>
                <w:szCs w:val="24"/>
              </w:rPr>
              <w:t xml:space="preserve">  建设项目环境风险潜势划分</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06"/>
              <w:gridCol w:w="1846"/>
              <w:gridCol w:w="1560"/>
              <w:gridCol w:w="1560"/>
              <w:gridCol w:w="863"/>
              <w:gridCol w:w="8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19" w:type="pct"/>
                  <w:vMerge w:val="restart"/>
                  <w:vAlign w:val="center"/>
                </w:tcPr>
                <w:p>
                  <w:pPr>
                    <w:widowControl/>
                    <w:jc w:val="center"/>
                    <w:rPr>
                      <w:kern w:val="0"/>
                      <w:szCs w:val="21"/>
                    </w:rPr>
                  </w:pPr>
                  <w:r>
                    <w:rPr>
                      <w:kern w:val="0"/>
                      <w:szCs w:val="21"/>
                    </w:rPr>
                    <w:t>环境敏感程度（E）</w:t>
                  </w:r>
                </w:p>
              </w:tc>
              <w:tc>
                <w:tcPr>
                  <w:tcW w:w="3681" w:type="pct"/>
                  <w:gridSpan w:val="5"/>
                  <w:vAlign w:val="center"/>
                </w:tcPr>
                <w:p>
                  <w:pPr>
                    <w:widowControl/>
                    <w:jc w:val="center"/>
                    <w:rPr>
                      <w:kern w:val="0"/>
                      <w:szCs w:val="21"/>
                    </w:rPr>
                  </w:pPr>
                  <w:r>
                    <w:rPr>
                      <w:kern w:val="0"/>
                      <w:szCs w:val="21"/>
                    </w:rPr>
                    <w:t>危险物质及工艺系统危险性（P）</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19" w:type="pct"/>
                  <w:vMerge w:val="continue"/>
                  <w:vAlign w:val="center"/>
                </w:tcPr>
                <w:p>
                  <w:pPr>
                    <w:widowControl/>
                    <w:jc w:val="center"/>
                    <w:rPr>
                      <w:kern w:val="0"/>
                      <w:szCs w:val="21"/>
                    </w:rPr>
                  </w:pPr>
                </w:p>
              </w:tc>
              <w:tc>
                <w:tcPr>
                  <w:tcW w:w="1012" w:type="pct"/>
                  <w:vAlign w:val="center"/>
                </w:tcPr>
                <w:p>
                  <w:pPr>
                    <w:widowControl/>
                    <w:jc w:val="center"/>
                    <w:rPr>
                      <w:kern w:val="0"/>
                      <w:szCs w:val="21"/>
                    </w:rPr>
                  </w:pPr>
                  <w:r>
                    <w:rPr>
                      <w:kern w:val="0"/>
                      <w:szCs w:val="21"/>
                    </w:rPr>
                    <w:t>极高危害（P1）</w:t>
                  </w:r>
                </w:p>
              </w:tc>
              <w:tc>
                <w:tcPr>
                  <w:tcW w:w="855" w:type="pct"/>
                  <w:vAlign w:val="center"/>
                </w:tcPr>
                <w:p>
                  <w:pPr>
                    <w:widowControl/>
                    <w:jc w:val="center"/>
                    <w:rPr>
                      <w:kern w:val="0"/>
                      <w:szCs w:val="21"/>
                    </w:rPr>
                  </w:pPr>
                  <w:r>
                    <w:rPr>
                      <w:kern w:val="0"/>
                      <w:szCs w:val="21"/>
                    </w:rPr>
                    <w:t>高度危害（P2）</w:t>
                  </w:r>
                </w:p>
              </w:tc>
              <w:tc>
                <w:tcPr>
                  <w:tcW w:w="855" w:type="pct"/>
                  <w:vAlign w:val="center"/>
                </w:tcPr>
                <w:p>
                  <w:pPr>
                    <w:widowControl/>
                    <w:jc w:val="center"/>
                    <w:rPr>
                      <w:kern w:val="0"/>
                      <w:szCs w:val="21"/>
                    </w:rPr>
                  </w:pPr>
                  <w:r>
                    <w:rPr>
                      <w:kern w:val="0"/>
                      <w:szCs w:val="21"/>
                    </w:rPr>
                    <w:t>中度危害（P3）</w:t>
                  </w:r>
                </w:p>
              </w:tc>
              <w:tc>
                <w:tcPr>
                  <w:tcW w:w="959" w:type="pct"/>
                  <w:gridSpan w:val="2"/>
                  <w:vAlign w:val="center"/>
                </w:tcPr>
                <w:p>
                  <w:pPr>
                    <w:widowControl/>
                    <w:jc w:val="center"/>
                    <w:rPr>
                      <w:kern w:val="0"/>
                      <w:szCs w:val="21"/>
                    </w:rPr>
                  </w:pPr>
                  <w:r>
                    <w:rPr>
                      <w:kern w:val="0"/>
                      <w:szCs w:val="21"/>
                    </w:rPr>
                    <w:t>轻度危害（P4）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19" w:type="pct"/>
                  <w:vAlign w:val="center"/>
                </w:tcPr>
                <w:p>
                  <w:pPr>
                    <w:widowControl/>
                    <w:jc w:val="center"/>
                    <w:rPr>
                      <w:kern w:val="0"/>
                      <w:szCs w:val="21"/>
                    </w:rPr>
                  </w:pPr>
                  <w:r>
                    <w:rPr>
                      <w:kern w:val="0"/>
                      <w:szCs w:val="21"/>
                    </w:rPr>
                    <w:t>环境高度敏感区（E1）</w:t>
                  </w:r>
                </w:p>
              </w:tc>
              <w:tc>
                <w:tcPr>
                  <w:tcW w:w="1012" w:type="pct"/>
                  <w:vAlign w:val="center"/>
                </w:tcPr>
                <w:p>
                  <w:pPr>
                    <w:widowControl/>
                    <w:jc w:val="center"/>
                    <w:rPr>
                      <w:kern w:val="0"/>
                      <w:szCs w:val="21"/>
                    </w:rPr>
                  </w:pPr>
                  <w:r>
                    <w:rPr>
                      <w:rFonts w:hint="eastAsia" w:ascii="宋体" w:hAnsi="宋体" w:cs="宋体"/>
                      <w:kern w:val="0"/>
                      <w:szCs w:val="21"/>
                    </w:rPr>
                    <w:t>Ⅳ</w:t>
                  </w:r>
                  <w:r>
                    <w:rPr>
                      <w:kern w:val="0"/>
                      <w:szCs w:val="21"/>
                    </w:rPr>
                    <w:t>+</w:t>
                  </w:r>
                </w:p>
              </w:tc>
              <w:tc>
                <w:tcPr>
                  <w:tcW w:w="855" w:type="pct"/>
                  <w:vAlign w:val="center"/>
                </w:tcPr>
                <w:p>
                  <w:pPr>
                    <w:widowControl/>
                    <w:jc w:val="center"/>
                    <w:rPr>
                      <w:kern w:val="0"/>
                      <w:szCs w:val="21"/>
                    </w:rPr>
                  </w:pPr>
                  <w:r>
                    <w:rPr>
                      <w:rFonts w:hint="eastAsia" w:ascii="宋体" w:hAnsi="宋体" w:cs="宋体"/>
                      <w:kern w:val="0"/>
                      <w:szCs w:val="21"/>
                    </w:rPr>
                    <w:t>Ⅳ</w:t>
                  </w:r>
                </w:p>
              </w:tc>
              <w:tc>
                <w:tcPr>
                  <w:tcW w:w="1328" w:type="pct"/>
                  <w:gridSpan w:val="2"/>
                  <w:vAlign w:val="center"/>
                </w:tcPr>
                <w:p>
                  <w:pPr>
                    <w:widowControl/>
                    <w:jc w:val="center"/>
                    <w:rPr>
                      <w:kern w:val="0"/>
                      <w:szCs w:val="21"/>
                    </w:rPr>
                  </w:pPr>
                  <w:r>
                    <w:rPr>
                      <w:rFonts w:hint="eastAsia" w:ascii="宋体" w:hAnsi="宋体" w:cs="宋体"/>
                      <w:kern w:val="0"/>
                      <w:szCs w:val="21"/>
                    </w:rPr>
                    <w:t>Ⅲ</w:t>
                  </w:r>
                </w:p>
              </w:tc>
              <w:tc>
                <w:tcPr>
                  <w:tcW w:w="486" w:type="pct"/>
                  <w:vAlign w:val="center"/>
                </w:tcPr>
                <w:p>
                  <w:pPr>
                    <w:widowControl/>
                    <w:jc w:val="center"/>
                    <w:rPr>
                      <w:kern w:val="0"/>
                      <w:szCs w:val="21"/>
                    </w:rPr>
                  </w:pPr>
                  <w:r>
                    <w:rPr>
                      <w:rFonts w:hint="eastAsia" w:ascii="宋体" w:hAnsi="宋体" w:cs="宋体"/>
                      <w:kern w:val="0"/>
                      <w:szCs w:val="21"/>
                    </w:rPr>
                    <w:t>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19" w:type="pct"/>
                  <w:vAlign w:val="center"/>
                </w:tcPr>
                <w:p>
                  <w:pPr>
                    <w:widowControl/>
                    <w:jc w:val="center"/>
                    <w:rPr>
                      <w:kern w:val="0"/>
                      <w:szCs w:val="21"/>
                    </w:rPr>
                  </w:pPr>
                  <w:r>
                    <w:rPr>
                      <w:kern w:val="0"/>
                      <w:szCs w:val="21"/>
                    </w:rPr>
                    <w:t>环境中度敏感区（E2）</w:t>
                  </w:r>
                </w:p>
              </w:tc>
              <w:tc>
                <w:tcPr>
                  <w:tcW w:w="1012" w:type="pct"/>
                  <w:vAlign w:val="center"/>
                </w:tcPr>
                <w:p>
                  <w:pPr>
                    <w:widowControl/>
                    <w:jc w:val="center"/>
                    <w:rPr>
                      <w:kern w:val="0"/>
                      <w:szCs w:val="21"/>
                    </w:rPr>
                  </w:pPr>
                  <w:r>
                    <w:rPr>
                      <w:rFonts w:hint="eastAsia" w:ascii="宋体" w:hAnsi="宋体" w:cs="宋体"/>
                      <w:kern w:val="0"/>
                      <w:szCs w:val="21"/>
                    </w:rPr>
                    <w:t>Ⅳ</w:t>
                  </w:r>
                </w:p>
              </w:tc>
              <w:tc>
                <w:tcPr>
                  <w:tcW w:w="855" w:type="pct"/>
                  <w:vAlign w:val="center"/>
                </w:tcPr>
                <w:p>
                  <w:pPr>
                    <w:widowControl/>
                    <w:jc w:val="center"/>
                    <w:rPr>
                      <w:kern w:val="0"/>
                      <w:szCs w:val="21"/>
                    </w:rPr>
                  </w:pPr>
                  <w:r>
                    <w:rPr>
                      <w:rFonts w:hint="eastAsia" w:ascii="宋体" w:hAnsi="宋体" w:cs="宋体"/>
                      <w:kern w:val="0"/>
                      <w:szCs w:val="21"/>
                    </w:rPr>
                    <w:t>Ⅲ</w:t>
                  </w:r>
                </w:p>
              </w:tc>
              <w:tc>
                <w:tcPr>
                  <w:tcW w:w="1328" w:type="pct"/>
                  <w:gridSpan w:val="2"/>
                  <w:vAlign w:val="center"/>
                </w:tcPr>
                <w:p>
                  <w:pPr>
                    <w:widowControl/>
                    <w:jc w:val="center"/>
                    <w:rPr>
                      <w:kern w:val="0"/>
                      <w:szCs w:val="21"/>
                    </w:rPr>
                  </w:pPr>
                  <w:r>
                    <w:rPr>
                      <w:rFonts w:hint="eastAsia" w:ascii="宋体" w:hAnsi="宋体" w:cs="宋体"/>
                      <w:kern w:val="0"/>
                      <w:szCs w:val="21"/>
                    </w:rPr>
                    <w:t>Ⅲ</w:t>
                  </w:r>
                </w:p>
              </w:tc>
              <w:tc>
                <w:tcPr>
                  <w:tcW w:w="486" w:type="pct"/>
                  <w:vAlign w:val="center"/>
                </w:tcPr>
                <w:p>
                  <w:pPr>
                    <w:widowControl/>
                    <w:jc w:val="center"/>
                    <w:rPr>
                      <w:kern w:val="0"/>
                      <w:szCs w:val="21"/>
                    </w:rPr>
                  </w:pPr>
                  <w:r>
                    <w:rPr>
                      <w:rFonts w:hint="eastAsia" w:ascii="宋体" w:hAnsi="宋体" w:cs="宋体"/>
                      <w:kern w:val="0"/>
                      <w:szCs w:val="21"/>
                    </w:rPr>
                    <w:t>Ⅱ</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319" w:type="pct"/>
                  <w:vAlign w:val="center"/>
                </w:tcPr>
                <w:p>
                  <w:pPr>
                    <w:widowControl/>
                    <w:jc w:val="center"/>
                    <w:rPr>
                      <w:kern w:val="0"/>
                      <w:szCs w:val="21"/>
                    </w:rPr>
                  </w:pPr>
                  <w:r>
                    <w:rPr>
                      <w:kern w:val="0"/>
                      <w:szCs w:val="21"/>
                    </w:rPr>
                    <w:t>环境低度敏感区（E3）</w:t>
                  </w:r>
                </w:p>
              </w:tc>
              <w:tc>
                <w:tcPr>
                  <w:tcW w:w="1012" w:type="pct"/>
                  <w:vAlign w:val="center"/>
                </w:tcPr>
                <w:p>
                  <w:pPr>
                    <w:widowControl/>
                    <w:jc w:val="center"/>
                    <w:rPr>
                      <w:kern w:val="0"/>
                      <w:szCs w:val="21"/>
                    </w:rPr>
                  </w:pPr>
                  <w:r>
                    <w:rPr>
                      <w:rFonts w:hint="eastAsia" w:ascii="宋体" w:hAnsi="宋体" w:cs="宋体"/>
                      <w:kern w:val="0"/>
                      <w:szCs w:val="21"/>
                    </w:rPr>
                    <w:t>Ⅲ</w:t>
                  </w:r>
                </w:p>
              </w:tc>
              <w:tc>
                <w:tcPr>
                  <w:tcW w:w="855" w:type="pct"/>
                  <w:vAlign w:val="center"/>
                </w:tcPr>
                <w:p>
                  <w:pPr>
                    <w:widowControl/>
                    <w:jc w:val="center"/>
                    <w:rPr>
                      <w:kern w:val="0"/>
                      <w:szCs w:val="21"/>
                    </w:rPr>
                  </w:pPr>
                  <w:r>
                    <w:rPr>
                      <w:rFonts w:hint="eastAsia" w:ascii="宋体" w:hAnsi="宋体" w:cs="宋体"/>
                      <w:kern w:val="0"/>
                      <w:szCs w:val="21"/>
                    </w:rPr>
                    <w:t>Ⅲ</w:t>
                  </w:r>
                </w:p>
              </w:tc>
              <w:tc>
                <w:tcPr>
                  <w:tcW w:w="1328" w:type="pct"/>
                  <w:gridSpan w:val="2"/>
                  <w:vAlign w:val="center"/>
                </w:tcPr>
                <w:p>
                  <w:pPr>
                    <w:widowControl/>
                    <w:jc w:val="center"/>
                    <w:rPr>
                      <w:kern w:val="0"/>
                      <w:szCs w:val="21"/>
                    </w:rPr>
                  </w:pPr>
                  <w:r>
                    <w:rPr>
                      <w:rFonts w:hint="eastAsia" w:ascii="宋体" w:hAnsi="宋体" w:cs="宋体"/>
                      <w:kern w:val="0"/>
                      <w:szCs w:val="21"/>
                    </w:rPr>
                    <w:t>Ⅱ</w:t>
                  </w:r>
                </w:p>
              </w:tc>
              <w:tc>
                <w:tcPr>
                  <w:tcW w:w="486" w:type="pct"/>
                  <w:vAlign w:val="center"/>
                </w:tcPr>
                <w:p>
                  <w:pPr>
                    <w:widowControl/>
                    <w:jc w:val="center"/>
                    <w:rPr>
                      <w:kern w:val="0"/>
                      <w:szCs w:val="21"/>
                    </w:rPr>
                  </w:pPr>
                  <w:r>
                    <w:rPr>
                      <w:rFonts w:hint="eastAsia" w:ascii="宋体" w:hAnsi="宋体" w:cs="宋体"/>
                      <w:kern w:val="0"/>
                      <w:szCs w:val="21"/>
                    </w:rPr>
                    <w:t>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pPr>
                    <w:widowControl/>
                    <w:jc w:val="center"/>
                    <w:rPr>
                      <w:kern w:val="0"/>
                      <w:szCs w:val="21"/>
                    </w:rPr>
                  </w:pPr>
                  <w:r>
                    <w:rPr>
                      <w:kern w:val="0"/>
                      <w:szCs w:val="21"/>
                    </w:rPr>
                    <w:t xml:space="preserve">注： </w:t>
                  </w:r>
                  <w:r>
                    <w:rPr>
                      <w:rFonts w:hint="eastAsia" w:ascii="宋体" w:hAnsi="宋体" w:cs="宋体"/>
                      <w:kern w:val="0"/>
                      <w:szCs w:val="21"/>
                    </w:rPr>
                    <w:t>Ⅳ</w:t>
                  </w:r>
                  <w:r>
                    <w:rPr>
                      <w:kern w:val="0"/>
                      <w:szCs w:val="21"/>
                    </w:rPr>
                    <w:t>+为极高环境风险</w:t>
                  </w:r>
                </w:p>
              </w:tc>
            </w:tr>
          </w:tbl>
          <w:p>
            <w:pPr>
              <w:autoSpaceDE w:val="0"/>
              <w:autoSpaceDN w:val="0"/>
              <w:adjustRightInd w:val="0"/>
              <w:spacing w:line="360" w:lineRule="auto"/>
              <w:ind w:firstLine="560" w:firstLineChars="200"/>
              <w:rPr>
                <w:sz w:val="28"/>
                <w:szCs w:val="28"/>
                <w:lang w:val="zh-CN"/>
              </w:rPr>
            </w:pPr>
            <w:r>
              <w:rPr>
                <w:sz w:val="28"/>
                <w:szCs w:val="28"/>
                <w:lang w:val="zh-CN"/>
              </w:rPr>
              <w:t>根据《建设项目环境风险评价技术导则》（HJ169-2018），计算所涉及的每种危险物质在厂界内的最大存在总量与其在附录B中对应临界量的比值Q。</w:t>
            </w:r>
          </w:p>
          <w:p>
            <w:pPr>
              <w:autoSpaceDE w:val="0"/>
              <w:autoSpaceDN w:val="0"/>
              <w:adjustRightInd w:val="0"/>
              <w:jc w:val="center"/>
              <w:rPr>
                <w:sz w:val="28"/>
                <w:szCs w:val="28"/>
                <w:lang w:val="zh-CN"/>
              </w:rPr>
            </w:pPr>
            <w:r>
              <w:rPr>
                <w:sz w:val="28"/>
                <w:szCs w:val="28"/>
              </w:rPr>
              <w:drawing>
                <wp:inline distT="0" distB="0" distL="0" distR="0">
                  <wp:extent cx="1923415" cy="411480"/>
                  <wp:effectExtent l="0" t="0" r="63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942390" cy="415850"/>
                          </a:xfrm>
                          <a:prstGeom prst="rect">
                            <a:avLst/>
                          </a:prstGeom>
                        </pic:spPr>
                      </pic:pic>
                    </a:graphicData>
                  </a:graphic>
                </wp:inline>
              </w:drawing>
            </w:r>
          </w:p>
          <w:p>
            <w:pPr>
              <w:autoSpaceDE w:val="0"/>
              <w:autoSpaceDN w:val="0"/>
              <w:adjustRightInd w:val="0"/>
              <w:spacing w:line="360" w:lineRule="auto"/>
              <w:ind w:firstLine="560" w:firstLineChars="200"/>
              <w:rPr>
                <w:sz w:val="28"/>
                <w:szCs w:val="28"/>
                <w:lang w:val="zh-CN"/>
              </w:rPr>
            </w:pPr>
            <w:r>
              <w:rPr>
                <w:sz w:val="28"/>
                <w:szCs w:val="28"/>
                <w:lang w:val="zh-CN"/>
              </w:rPr>
              <w:t>式中： q</w:t>
            </w:r>
            <w:r>
              <w:rPr>
                <w:sz w:val="28"/>
                <w:szCs w:val="28"/>
                <w:vertAlign w:val="subscript"/>
                <w:lang w:val="zh-CN"/>
              </w:rPr>
              <w:t>1</w:t>
            </w:r>
            <w:r>
              <w:rPr>
                <w:sz w:val="28"/>
                <w:szCs w:val="28"/>
                <w:lang w:val="zh-CN"/>
              </w:rPr>
              <w:t>，q</w:t>
            </w:r>
            <w:r>
              <w:rPr>
                <w:sz w:val="28"/>
                <w:szCs w:val="28"/>
                <w:vertAlign w:val="subscript"/>
                <w:lang w:val="zh-CN"/>
              </w:rPr>
              <w:t>2</w:t>
            </w:r>
            <w:r>
              <w:rPr>
                <w:sz w:val="28"/>
                <w:szCs w:val="28"/>
                <w:lang w:val="zh-CN"/>
              </w:rPr>
              <w:t>……q</w:t>
            </w:r>
            <w:r>
              <w:rPr>
                <w:sz w:val="28"/>
                <w:szCs w:val="28"/>
                <w:vertAlign w:val="subscript"/>
                <w:lang w:val="zh-CN"/>
              </w:rPr>
              <w:t>n</w:t>
            </w:r>
            <w:r>
              <w:rPr>
                <w:sz w:val="28"/>
                <w:szCs w:val="28"/>
                <w:lang w:val="zh-CN"/>
              </w:rPr>
              <w:t>—每种危险物质的最大存在总量， t；</w:t>
            </w:r>
          </w:p>
          <w:p>
            <w:pPr>
              <w:autoSpaceDE w:val="0"/>
              <w:autoSpaceDN w:val="0"/>
              <w:adjustRightInd w:val="0"/>
              <w:spacing w:line="360" w:lineRule="auto"/>
              <w:ind w:firstLine="1540" w:firstLineChars="550"/>
              <w:rPr>
                <w:sz w:val="28"/>
                <w:szCs w:val="28"/>
                <w:lang w:val="zh-CN"/>
              </w:rPr>
            </w:pPr>
            <w:r>
              <w:rPr>
                <w:sz w:val="28"/>
                <w:szCs w:val="28"/>
                <w:lang w:val="zh-CN"/>
              </w:rPr>
              <w:t>Q</w:t>
            </w:r>
            <w:r>
              <w:rPr>
                <w:sz w:val="28"/>
                <w:szCs w:val="28"/>
                <w:vertAlign w:val="subscript"/>
                <w:lang w:val="zh-CN"/>
              </w:rPr>
              <w:t>1</w:t>
            </w:r>
            <w:r>
              <w:rPr>
                <w:sz w:val="28"/>
                <w:szCs w:val="28"/>
                <w:lang w:val="zh-CN"/>
              </w:rPr>
              <w:t>，Q</w:t>
            </w:r>
            <w:r>
              <w:rPr>
                <w:sz w:val="28"/>
                <w:szCs w:val="28"/>
                <w:vertAlign w:val="subscript"/>
                <w:lang w:val="zh-CN"/>
              </w:rPr>
              <w:t>2</w:t>
            </w:r>
            <w:r>
              <w:rPr>
                <w:sz w:val="28"/>
                <w:szCs w:val="28"/>
                <w:lang w:val="zh-CN"/>
              </w:rPr>
              <w:t>…Q</w:t>
            </w:r>
            <w:r>
              <w:rPr>
                <w:sz w:val="28"/>
                <w:szCs w:val="28"/>
                <w:vertAlign w:val="subscript"/>
                <w:lang w:val="zh-CN"/>
              </w:rPr>
              <w:t>n</w:t>
            </w:r>
            <w:r>
              <w:rPr>
                <w:sz w:val="28"/>
                <w:szCs w:val="28"/>
                <w:lang w:val="zh-CN"/>
              </w:rPr>
              <w:t>—每种危险物质的临界量， t。</w:t>
            </w:r>
          </w:p>
          <w:p>
            <w:pPr>
              <w:autoSpaceDE w:val="0"/>
              <w:autoSpaceDN w:val="0"/>
              <w:adjustRightInd w:val="0"/>
              <w:spacing w:line="360" w:lineRule="auto"/>
              <w:ind w:firstLine="560" w:firstLineChars="200"/>
              <w:rPr>
                <w:sz w:val="28"/>
                <w:szCs w:val="28"/>
                <w:lang w:val="zh-CN"/>
              </w:rPr>
            </w:pPr>
            <w:r>
              <w:rPr>
                <w:sz w:val="28"/>
                <w:szCs w:val="28"/>
                <w:lang w:val="zh-CN"/>
              </w:rPr>
              <w:t>当 Q＜1 时，该项目环境风险潜势为</w:t>
            </w:r>
            <w:r>
              <w:rPr>
                <w:rFonts w:hint="eastAsia" w:ascii="宋体" w:hAnsi="宋体" w:cs="宋体"/>
                <w:sz w:val="28"/>
                <w:szCs w:val="28"/>
                <w:lang w:val="zh-CN"/>
              </w:rPr>
              <w:t>Ⅰ</w:t>
            </w:r>
            <w:r>
              <w:rPr>
                <w:sz w:val="28"/>
                <w:szCs w:val="28"/>
                <w:lang w:val="zh-CN"/>
              </w:rPr>
              <w:t>。</w:t>
            </w:r>
          </w:p>
          <w:p>
            <w:pPr>
              <w:autoSpaceDE w:val="0"/>
              <w:autoSpaceDN w:val="0"/>
              <w:adjustRightInd w:val="0"/>
              <w:spacing w:line="360" w:lineRule="auto"/>
              <w:ind w:left="138" w:leftChars="66" w:firstLine="420" w:firstLineChars="150"/>
              <w:rPr>
                <w:sz w:val="28"/>
                <w:szCs w:val="28"/>
                <w:lang w:val="zh-CN"/>
              </w:rPr>
            </w:pPr>
            <w:r>
              <w:rPr>
                <w:sz w:val="28"/>
                <w:szCs w:val="28"/>
                <w:lang w:val="zh-CN"/>
              </w:rPr>
              <w:t>当 Q≥1 时，将Q值划分为：（1）1≤Q＜10；（2）10≤Q＜100； （3）Q≥100。</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本项目经销机动车用汽油、柴油属于易燃物质，存在环境风险，危险源情况见下表。</w:t>
            </w:r>
          </w:p>
          <w:p>
            <w:pPr>
              <w:spacing w:line="360" w:lineRule="auto"/>
              <w:jc w:val="center"/>
              <w:rPr>
                <w:b/>
                <w:sz w:val="24"/>
                <w:szCs w:val="24"/>
              </w:rPr>
            </w:pPr>
            <w:r>
              <w:rPr>
                <w:rFonts w:hint="eastAsia"/>
                <w:b/>
                <w:sz w:val="24"/>
                <w:szCs w:val="24"/>
              </w:rPr>
              <w:t>表50    建设项目Q值确定表</w:t>
            </w:r>
          </w:p>
          <w:tbl>
            <w:tblPr>
              <w:tblStyle w:val="26"/>
              <w:tblW w:w="0" w:type="auto"/>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704"/>
              <w:gridCol w:w="1559"/>
              <w:gridCol w:w="993"/>
              <w:gridCol w:w="2126"/>
              <w:gridCol w:w="1701"/>
              <w:gridCol w:w="1973"/>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704" w:type="dxa"/>
                  <w:vAlign w:val="center"/>
                </w:tcPr>
                <w:p>
                  <w:pPr>
                    <w:jc w:val="center"/>
                    <w:rPr>
                      <w:szCs w:val="21"/>
                    </w:rPr>
                  </w:pPr>
                  <w:r>
                    <w:rPr>
                      <w:szCs w:val="21"/>
                    </w:rPr>
                    <w:t>序号</w:t>
                  </w:r>
                </w:p>
              </w:tc>
              <w:tc>
                <w:tcPr>
                  <w:tcW w:w="1559" w:type="dxa"/>
                  <w:vAlign w:val="center"/>
                </w:tcPr>
                <w:p>
                  <w:pPr>
                    <w:jc w:val="center"/>
                    <w:rPr>
                      <w:szCs w:val="21"/>
                    </w:rPr>
                  </w:pPr>
                  <w:r>
                    <w:rPr>
                      <w:szCs w:val="21"/>
                    </w:rPr>
                    <w:t>危险物质名称</w:t>
                  </w:r>
                </w:p>
              </w:tc>
              <w:tc>
                <w:tcPr>
                  <w:tcW w:w="993" w:type="dxa"/>
                  <w:vAlign w:val="center"/>
                </w:tcPr>
                <w:p>
                  <w:pPr>
                    <w:jc w:val="center"/>
                    <w:rPr>
                      <w:szCs w:val="21"/>
                    </w:rPr>
                  </w:pPr>
                  <w:r>
                    <w:rPr>
                      <w:szCs w:val="21"/>
                    </w:rPr>
                    <w:t>CAS号</w:t>
                  </w:r>
                </w:p>
              </w:tc>
              <w:tc>
                <w:tcPr>
                  <w:tcW w:w="2126" w:type="dxa"/>
                  <w:vAlign w:val="center"/>
                </w:tcPr>
                <w:p>
                  <w:pPr>
                    <w:jc w:val="center"/>
                    <w:rPr>
                      <w:szCs w:val="21"/>
                    </w:rPr>
                  </w:pPr>
                  <w:r>
                    <w:rPr>
                      <w:szCs w:val="21"/>
                    </w:rPr>
                    <w:t>最大存在总量q</w:t>
                  </w:r>
                  <w:r>
                    <w:rPr>
                      <w:szCs w:val="21"/>
                      <w:vertAlign w:val="subscript"/>
                    </w:rPr>
                    <w:t>n</w:t>
                  </w:r>
                  <w:r>
                    <w:rPr>
                      <w:szCs w:val="21"/>
                    </w:rPr>
                    <w:t>/t</w:t>
                  </w:r>
                </w:p>
              </w:tc>
              <w:tc>
                <w:tcPr>
                  <w:tcW w:w="1701" w:type="dxa"/>
                  <w:vAlign w:val="center"/>
                </w:tcPr>
                <w:p>
                  <w:pPr>
                    <w:jc w:val="center"/>
                    <w:rPr>
                      <w:szCs w:val="21"/>
                    </w:rPr>
                  </w:pPr>
                  <w:r>
                    <w:rPr>
                      <w:szCs w:val="21"/>
                    </w:rPr>
                    <w:t>临界量Q</w:t>
                  </w:r>
                  <w:r>
                    <w:rPr>
                      <w:szCs w:val="21"/>
                      <w:vertAlign w:val="subscript"/>
                    </w:rPr>
                    <w:t>n</w:t>
                  </w:r>
                  <w:r>
                    <w:rPr>
                      <w:szCs w:val="21"/>
                    </w:rPr>
                    <w:t>/t</w:t>
                  </w:r>
                </w:p>
              </w:tc>
              <w:tc>
                <w:tcPr>
                  <w:tcW w:w="1973" w:type="dxa"/>
                  <w:vAlign w:val="center"/>
                </w:tcPr>
                <w:p>
                  <w:pPr>
                    <w:jc w:val="center"/>
                    <w:rPr>
                      <w:szCs w:val="21"/>
                    </w:rPr>
                  </w:pPr>
                  <w:r>
                    <w:rPr>
                      <w:szCs w:val="21"/>
                    </w:rPr>
                    <w:t>该种危险物质Q值</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704" w:type="dxa"/>
                  <w:vAlign w:val="center"/>
                </w:tcPr>
                <w:p>
                  <w:pPr>
                    <w:jc w:val="center"/>
                    <w:rPr>
                      <w:szCs w:val="21"/>
                    </w:rPr>
                  </w:pPr>
                  <w:r>
                    <w:rPr>
                      <w:szCs w:val="21"/>
                    </w:rPr>
                    <w:t>1</w:t>
                  </w:r>
                </w:p>
              </w:tc>
              <w:tc>
                <w:tcPr>
                  <w:tcW w:w="1559" w:type="dxa"/>
                  <w:vAlign w:val="center"/>
                </w:tcPr>
                <w:p>
                  <w:pPr>
                    <w:jc w:val="center"/>
                    <w:rPr>
                      <w:szCs w:val="21"/>
                    </w:rPr>
                  </w:pPr>
                  <w:r>
                    <w:rPr>
                      <w:szCs w:val="21"/>
                    </w:rPr>
                    <w:t>汽油</w:t>
                  </w:r>
                </w:p>
              </w:tc>
              <w:tc>
                <w:tcPr>
                  <w:tcW w:w="993" w:type="dxa"/>
                  <w:vAlign w:val="center"/>
                </w:tcPr>
                <w:p>
                  <w:pPr>
                    <w:jc w:val="center"/>
                    <w:rPr>
                      <w:szCs w:val="21"/>
                    </w:rPr>
                  </w:pPr>
                  <w:r>
                    <w:rPr>
                      <w:szCs w:val="21"/>
                    </w:rPr>
                    <w:t>/</w:t>
                  </w:r>
                </w:p>
              </w:tc>
              <w:tc>
                <w:tcPr>
                  <w:tcW w:w="2126" w:type="dxa"/>
                  <w:vAlign w:val="center"/>
                </w:tcPr>
                <w:p>
                  <w:pPr>
                    <w:jc w:val="center"/>
                    <w:rPr>
                      <w:rFonts w:cs="Calibri"/>
                      <w:szCs w:val="21"/>
                    </w:rPr>
                  </w:pPr>
                  <w:r>
                    <w:rPr>
                      <w:rFonts w:hint="eastAsia" w:cs="Calibri"/>
                      <w:szCs w:val="21"/>
                    </w:rPr>
                    <w:t>44.34</w:t>
                  </w:r>
                </w:p>
              </w:tc>
              <w:tc>
                <w:tcPr>
                  <w:tcW w:w="1701" w:type="dxa"/>
                  <w:vMerge w:val="restart"/>
                  <w:vAlign w:val="center"/>
                </w:tcPr>
                <w:p>
                  <w:pPr>
                    <w:jc w:val="center"/>
                    <w:rPr>
                      <w:szCs w:val="21"/>
                    </w:rPr>
                  </w:pPr>
                  <w:r>
                    <w:rPr>
                      <w:szCs w:val="21"/>
                    </w:rPr>
                    <w:t>2500</w:t>
                  </w:r>
                </w:p>
              </w:tc>
              <w:tc>
                <w:tcPr>
                  <w:tcW w:w="1973" w:type="dxa"/>
                  <w:vAlign w:val="center"/>
                </w:tcPr>
                <w:p>
                  <w:pPr>
                    <w:jc w:val="center"/>
                    <w:rPr>
                      <w:rFonts w:cs="Calibri"/>
                      <w:szCs w:val="21"/>
                    </w:rPr>
                  </w:pPr>
                  <w:r>
                    <w:rPr>
                      <w:rFonts w:cs="Calibri"/>
                      <w:szCs w:val="21"/>
                    </w:rPr>
                    <w:t>0.017736</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704" w:type="dxa"/>
                  <w:vAlign w:val="center"/>
                </w:tcPr>
                <w:p>
                  <w:pPr>
                    <w:jc w:val="center"/>
                    <w:rPr>
                      <w:szCs w:val="21"/>
                    </w:rPr>
                  </w:pPr>
                  <w:r>
                    <w:rPr>
                      <w:szCs w:val="21"/>
                    </w:rPr>
                    <w:t>2</w:t>
                  </w:r>
                </w:p>
              </w:tc>
              <w:tc>
                <w:tcPr>
                  <w:tcW w:w="1559" w:type="dxa"/>
                  <w:vAlign w:val="center"/>
                </w:tcPr>
                <w:p>
                  <w:pPr>
                    <w:jc w:val="center"/>
                    <w:rPr>
                      <w:szCs w:val="21"/>
                    </w:rPr>
                  </w:pPr>
                  <w:r>
                    <w:rPr>
                      <w:rFonts w:hint="eastAsia"/>
                      <w:szCs w:val="21"/>
                    </w:rPr>
                    <w:t>柴</w:t>
                  </w:r>
                  <w:r>
                    <w:rPr>
                      <w:szCs w:val="21"/>
                    </w:rPr>
                    <w:t>油</w:t>
                  </w:r>
                </w:p>
              </w:tc>
              <w:tc>
                <w:tcPr>
                  <w:tcW w:w="993" w:type="dxa"/>
                  <w:vAlign w:val="center"/>
                </w:tcPr>
                <w:p>
                  <w:pPr>
                    <w:jc w:val="center"/>
                    <w:rPr>
                      <w:szCs w:val="21"/>
                    </w:rPr>
                  </w:pPr>
                  <w:r>
                    <w:rPr>
                      <w:szCs w:val="21"/>
                    </w:rPr>
                    <w:t>/</w:t>
                  </w:r>
                </w:p>
              </w:tc>
              <w:tc>
                <w:tcPr>
                  <w:tcW w:w="2126" w:type="dxa"/>
                  <w:vAlign w:val="center"/>
                </w:tcPr>
                <w:p>
                  <w:pPr>
                    <w:jc w:val="center"/>
                    <w:rPr>
                      <w:rFonts w:cs="Calibri"/>
                      <w:szCs w:val="21"/>
                    </w:rPr>
                  </w:pPr>
                  <w:r>
                    <w:rPr>
                      <w:rFonts w:hint="eastAsia" w:cs="Calibri"/>
                      <w:szCs w:val="21"/>
                    </w:rPr>
                    <w:t>102.6</w:t>
                  </w:r>
                </w:p>
              </w:tc>
              <w:tc>
                <w:tcPr>
                  <w:tcW w:w="1701" w:type="dxa"/>
                  <w:vMerge w:val="continue"/>
                  <w:vAlign w:val="center"/>
                </w:tcPr>
                <w:p>
                  <w:pPr>
                    <w:jc w:val="center"/>
                    <w:rPr>
                      <w:szCs w:val="21"/>
                    </w:rPr>
                  </w:pPr>
                </w:p>
              </w:tc>
              <w:tc>
                <w:tcPr>
                  <w:tcW w:w="1973" w:type="dxa"/>
                  <w:vAlign w:val="center"/>
                </w:tcPr>
                <w:p>
                  <w:pPr>
                    <w:jc w:val="center"/>
                    <w:rPr>
                      <w:rFonts w:cs="Calibri"/>
                      <w:szCs w:val="21"/>
                    </w:rPr>
                  </w:pPr>
                  <w:r>
                    <w:rPr>
                      <w:rFonts w:cs="Calibri"/>
                      <w:szCs w:val="21"/>
                    </w:rPr>
                    <w:t>0.04104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c>
                <w:tcPr>
                  <w:tcW w:w="7083" w:type="dxa"/>
                  <w:gridSpan w:val="5"/>
                  <w:vAlign w:val="center"/>
                </w:tcPr>
                <w:p>
                  <w:pPr>
                    <w:jc w:val="center"/>
                    <w:rPr>
                      <w:szCs w:val="21"/>
                    </w:rPr>
                  </w:pPr>
                  <w:r>
                    <w:rPr>
                      <w:rFonts w:hint="eastAsia"/>
                      <w:szCs w:val="21"/>
                    </w:rPr>
                    <w:t>项目Q值∑</w:t>
                  </w:r>
                </w:p>
              </w:tc>
              <w:tc>
                <w:tcPr>
                  <w:tcW w:w="1973" w:type="dxa"/>
                  <w:vAlign w:val="center"/>
                </w:tcPr>
                <w:p>
                  <w:pPr>
                    <w:jc w:val="center"/>
                    <w:rPr>
                      <w:rFonts w:cs="Calibri"/>
                      <w:szCs w:val="21"/>
                    </w:rPr>
                  </w:pPr>
                  <w:r>
                    <w:rPr>
                      <w:rFonts w:cs="Calibri"/>
                      <w:szCs w:val="21"/>
                    </w:rPr>
                    <w:t>0.058776</w:t>
                  </w:r>
                </w:p>
              </w:tc>
            </w:tr>
          </w:tbl>
          <w:p>
            <w:pPr>
              <w:snapToGrid w:val="0"/>
              <w:spacing w:line="360" w:lineRule="auto"/>
              <w:ind w:firstLine="560" w:firstLineChars="200"/>
              <w:rPr>
                <w:sz w:val="28"/>
                <w:szCs w:val="28"/>
              </w:rPr>
            </w:pPr>
            <w:r>
              <w:rPr>
                <w:rFonts w:hint="eastAsia" w:ascii="宋体" w:hAnsi="宋体" w:cs="宋体"/>
                <w:sz w:val="28"/>
                <w:szCs w:val="28"/>
              </w:rPr>
              <w:t>③</w:t>
            </w:r>
            <w:r>
              <w:rPr>
                <w:sz w:val="28"/>
                <w:szCs w:val="28"/>
              </w:rPr>
              <w:t xml:space="preserve"> 评价等级判定</w:t>
            </w:r>
          </w:p>
          <w:p>
            <w:pPr>
              <w:snapToGrid w:val="0"/>
              <w:spacing w:line="360" w:lineRule="auto"/>
              <w:ind w:firstLine="560" w:firstLineChars="200"/>
              <w:rPr>
                <w:sz w:val="28"/>
                <w:szCs w:val="28"/>
              </w:rPr>
            </w:pPr>
            <w:r>
              <w:rPr>
                <w:sz w:val="28"/>
                <w:szCs w:val="28"/>
              </w:rPr>
              <w:t>项目环境风险评价工作等级划分依据见下表。</w:t>
            </w:r>
          </w:p>
          <w:p>
            <w:pPr>
              <w:spacing w:line="360" w:lineRule="auto"/>
              <w:jc w:val="center"/>
              <w:rPr>
                <w:b/>
                <w:sz w:val="24"/>
                <w:szCs w:val="24"/>
              </w:rPr>
            </w:pPr>
            <w:r>
              <w:rPr>
                <w:b/>
                <w:sz w:val="24"/>
                <w:szCs w:val="24"/>
              </w:rPr>
              <w:t>表</w:t>
            </w:r>
            <w:r>
              <w:rPr>
                <w:rFonts w:hint="eastAsia"/>
                <w:b/>
                <w:sz w:val="24"/>
                <w:szCs w:val="24"/>
              </w:rPr>
              <w:t xml:space="preserve">51 </w:t>
            </w:r>
            <w:r>
              <w:rPr>
                <w:b/>
                <w:sz w:val="24"/>
                <w:szCs w:val="24"/>
              </w:rPr>
              <w:t xml:space="preserve">   项目环境风险评价工作等级划分</w:t>
            </w:r>
          </w:p>
          <w:tbl>
            <w:tblPr>
              <w:tblStyle w:val="2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461"/>
              <w:gridCol w:w="1259"/>
              <w:gridCol w:w="1138"/>
              <w:gridCol w:w="927"/>
              <w:gridCol w:w="133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445" w:type="pct"/>
                  <w:vAlign w:val="center"/>
                </w:tcPr>
                <w:p>
                  <w:pPr>
                    <w:widowControl/>
                    <w:jc w:val="center"/>
                    <w:rPr>
                      <w:kern w:val="0"/>
                      <w:szCs w:val="21"/>
                    </w:rPr>
                  </w:pPr>
                  <w:r>
                    <w:rPr>
                      <w:kern w:val="0"/>
                      <w:szCs w:val="21"/>
                    </w:rPr>
                    <w:t>环境风险潜势</w:t>
                  </w:r>
                </w:p>
              </w:tc>
              <w:tc>
                <w:tcPr>
                  <w:tcW w:w="690" w:type="pct"/>
                  <w:vAlign w:val="center"/>
                </w:tcPr>
                <w:p>
                  <w:pPr>
                    <w:widowControl/>
                    <w:jc w:val="center"/>
                    <w:rPr>
                      <w:kern w:val="0"/>
                      <w:szCs w:val="21"/>
                    </w:rPr>
                  </w:pPr>
                  <w:r>
                    <w:rPr>
                      <w:rFonts w:hint="eastAsia" w:ascii="宋体" w:hAnsi="宋体" w:cs="宋体"/>
                      <w:kern w:val="0"/>
                      <w:szCs w:val="21"/>
                    </w:rPr>
                    <w:t>Ⅳ</w:t>
                  </w:r>
                  <w:r>
                    <w:rPr>
                      <w:kern w:val="0"/>
                      <w:szCs w:val="21"/>
                    </w:rPr>
                    <w:t xml:space="preserve">、 </w:t>
                  </w:r>
                  <w:r>
                    <w:rPr>
                      <w:rFonts w:hint="eastAsia" w:ascii="宋体" w:hAnsi="宋体" w:cs="宋体"/>
                      <w:kern w:val="0"/>
                      <w:szCs w:val="21"/>
                    </w:rPr>
                    <w:t>Ⅳ</w:t>
                  </w:r>
                  <w:r>
                    <w:rPr>
                      <w:kern w:val="0"/>
                      <w:szCs w:val="21"/>
                    </w:rPr>
                    <w:t>+</w:t>
                  </w:r>
                </w:p>
              </w:tc>
              <w:tc>
                <w:tcPr>
                  <w:tcW w:w="624" w:type="pct"/>
                  <w:vAlign w:val="center"/>
                </w:tcPr>
                <w:p>
                  <w:pPr>
                    <w:widowControl/>
                    <w:jc w:val="center"/>
                    <w:rPr>
                      <w:kern w:val="0"/>
                      <w:szCs w:val="21"/>
                    </w:rPr>
                  </w:pPr>
                  <w:r>
                    <w:rPr>
                      <w:rFonts w:hint="eastAsia" w:ascii="宋体" w:hAnsi="宋体" w:cs="宋体"/>
                      <w:kern w:val="0"/>
                      <w:szCs w:val="21"/>
                    </w:rPr>
                    <w:t>Ⅲ</w:t>
                  </w:r>
                </w:p>
              </w:tc>
              <w:tc>
                <w:tcPr>
                  <w:tcW w:w="508" w:type="pct"/>
                  <w:vAlign w:val="center"/>
                </w:tcPr>
                <w:p>
                  <w:pPr>
                    <w:widowControl/>
                    <w:jc w:val="center"/>
                    <w:rPr>
                      <w:kern w:val="0"/>
                      <w:szCs w:val="21"/>
                    </w:rPr>
                  </w:pPr>
                  <w:r>
                    <w:rPr>
                      <w:rFonts w:hint="eastAsia" w:ascii="宋体" w:hAnsi="宋体" w:cs="宋体"/>
                      <w:kern w:val="0"/>
                      <w:szCs w:val="21"/>
                    </w:rPr>
                    <w:t>Ⅱ</w:t>
                  </w:r>
                </w:p>
              </w:tc>
              <w:tc>
                <w:tcPr>
                  <w:tcW w:w="733" w:type="pct"/>
                  <w:vAlign w:val="center"/>
                </w:tcPr>
                <w:p>
                  <w:pPr>
                    <w:widowControl/>
                    <w:jc w:val="center"/>
                    <w:rPr>
                      <w:kern w:val="0"/>
                      <w:szCs w:val="21"/>
                    </w:rPr>
                  </w:pPr>
                  <w:r>
                    <w:rPr>
                      <w:rFonts w:hint="eastAsia" w:ascii="宋体" w:hAnsi="宋体" w:cs="宋体"/>
                      <w:kern w:val="0"/>
                      <w:szCs w:val="21"/>
                    </w:rPr>
                    <w:t>Ⅰ</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445" w:type="pct"/>
                  <w:vAlign w:val="center"/>
                </w:tcPr>
                <w:p>
                  <w:pPr>
                    <w:widowControl/>
                    <w:jc w:val="center"/>
                    <w:rPr>
                      <w:kern w:val="0"/>
                      <w:szCs w:val="21"/>
                    </w:rPr>
                  </w:pPr>
                  <w:r>
                    <w:rPr>
                      <w:kern w:val="0"/>
                      <w:szCs w:val="21"/>
                    </w:rPr>
                    <w:t>评价工作等级</w:t>
                  </w:r>
                </w:p>
              </w:tc>
              <w:tc>
                <w:tcPr>
                  <w:tcW w:w="690" w:type="pct"/>
                  <w:vAlign w:val="center"/>
                </w:tcPr>
                <w:p>
                  <w:pPr>
                    <w:widowControl/>
                    <w:jc w:val="center"/>
                    <w:rPr>
                      <w:kern w:val="0"/>
                      <w:szCs w:val="21"/>
                    </w:rPr>
                  </w:pPr>
                  <w:r>
                    <w:rPr>
                      <w:kern w:val="0"/>
                      <w:szCs w:val="21"/>
                    </w:rPr>
                    <w:t>一</w:t>
                  </w:r>
                </w:p>
              </w:tc>
              <w:tc>
                <w:tcPr>
                  <w:tcW w:w="624" w:type="pct"/>
                  <w:vAlign w:val="center"/>
                </w:tcPr>
                <w:p>
                  <w:pPr>
                    <w:widowControl/>
                    <w:jc w:val="center"/>
                    <w:rPr>
                      <w:kern w:val="0"/>
                      <w:szCs w:val="21"/>
                    </w:rPr>
                  </w:pPr>
                  <w:r>
                    <w:rPr>
                      <w:kern w:val="0"/>
                      <w:szCs w:val="21"/>
                    </w:rPr>
                    <w:t>二</w:t>
                  </w:r>
                </w:p>
              </w:tc>
              <w:tc>
                <w:tcPr>
                  <w:tcW w:w="508" w:type="pct"/>
                  <w:vAlign w:val="center"/>
                </w:tcPr>
                <w:p>
                  <w:pPr>
                    <w:widowControl/>
                    <w:jc w:val="center"/>
                    <w:rPr>
                      <w:kern w:val="0"/>
                      <w:szCs w:val="21"/>
                    </w:rPr>
                  </w:pPr>
                  <w:r>
                    <w:rPr>
                      <w:kern w:val="0"/>
                      <w:szCs w:val="21"/>
                    </w:rPr>
                    <w:t>三</w:t>
                  </w:r>
                </w:p>
              </w:tc>
              <w:tc>
                <w:tcPr>
                  <w:tcW w:w="733" w:type="pct"/>
                  <w:vAlign w:val="center"/>
                </w:tcPr>
                <w:p>
                  <w:pPr>
                    <w:widowControl/>
                    <w:jc w:val="center"/>
                    <w:rPr>
                      <w:kern w:val="0"/>
                      <w:szCs w:val="21"/>
                    </w:rPr>
                  </w:pPr>
                  <w:r>
                    <w:rPr>
                      <w:kern w:val="0"/>
                      <w:szCs w:val="21"/>
                    </w:rPr>
                    <w:t>简单分析</w:t>
                  </w:r>
                  <w:r>
                    <w:rPr>
                      <w:kern w:val="0"/>
                      <w:szCs w:val="21"/>
                      <w:vertAlign w:val="superscript"/>
                    </w:rPr>
                    <w:t>a</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5000" w:type="pct"/>
                  <w:gridSpan w:val="5"/>
                  <w:vAlign w:val="center"/>
                </w:tcPr>
                <w:p>
                  <w:pPr>
                    <w:widowControl/>
                    <w:jc w:val="center"/>
                    <w:rPr>
                      <w:kern w:val="0"/>
                      <w:szCs w:val="21"/>
                    </w:rPr>
                  </w:pPr>
                  <w:r>
                    <w:rPr>
                      <w:kern w:val="0"/>
                      <w:szCs w:val="21"/>
                    </w:rPr>
                    <w:t>a是相对于详细评价工作内容而言，在描述危险物质、环境影响途径、环境危害后果、风险防范措施等方面给出定性的说明。</w:t>
                  </w:r>
                </w:p>
              </w:tc>
            </w:tr>
          </w:tbl>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油类物质临界量为2500t，经计算Q=</w:t>
            </w:r>
            <w:r>
              <w:rPr>
                <w:rFonts w:asciiTheme="minorEastAsia" w:hAnsiTheme="minorEastAsia" w:eastAsiaTheme="minorEastAsia"/>
                <w:sz w:val="28"/>
                <w:szCs w:val="28"/>
              </w:rPr>
              <w:t>0.058776</w:t>
            </w:r>
            <w:r>
              <w:rPr>
                <w:rFonts w:hint="eastAsia" w:asciiTheme="minorEastAsia" w:hAnsiTheme="minorEastAsia" w:eastAsiaTheme="minorEastAsia"/>
                <w:sz w:val="28"/>
                <w:szCs w:val="28"/>
              </w:rPr>
              <w:t>＜1，环境风险潜势为Ⅰ，因此本项目仅需要进行简单分析。</w:t>
            </w:r>
          </w:p>
          <w:p>
            <w:pPr>
              <w:spacing w:line="360" w:lineRule="auto"/>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（2） 环境敏感目标概况</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本项目周围环境敏感目标分布情况：</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① 距离本项目最近村屯为三村镇，在本项目的东北偏北方向1243m处。</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② 评价区域内的地下水环境。</w:t>
            </w:r>
          </w:p>
          <w:p>
            <w:pPr>
              <w:spacing w:line="360" w:lineRule="auto"/>
              <w:ind w:firstLine="560" w:firstLineChars="200"/>
              <w:rPr>
                <w:rFonts w:ascii="Times New Roman" w:hAnsi="Times New Roman"/>
                <w:b/>
                <w:sz w:val="28"/>
                <w:szCs w:val="28"/>
              </w:rPr>
            </w:pPr>
            <w:r>
              <w:rPr>
                <w:rFonts w:hint="eastAsia" w:ascii="Times New Roman" w:hAnsi="Times New Roman"/>
                <w:b/>
                <w:sz w:val="28"/>
                <w:szCs w:val="28"/>
              </w:rPr>
              <w:t>（3） 风险识别</w:t>
            </w:r>
          </w:p>
          <w:p>
            <w:pPr>
              <w:spacing w:line="360" w:lineRule="auto"/>
              <w:ind w:firstLine="560" w:firstLineChars="200"/>
              <w:rPr>
                <w:rFonts w:ascii="Times New Roman" w:hAnsi="Times New Roman"/>
                <w:sz w:val="28"/>
                <w:szCs w:val="28"/>
              </w:rPr>
            </w:pPr>
            <w:r>
              <w:rPr>
                <w:rFonts w:ascii="Times New Roman" w:hAnsi="Times New Roman"/>
                <w:sz w:val="28"/>
                <w:szCs w:val="28"/>
              </w:rPr>
              <w:t>本工程主要物料汽油属甲类火灾危险类别，柴油属丙类火灾危险类别，故火灾、爆炸是本工程最重要的风险。结合工程特点分析，生产过程中主要风险有：</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①</w:t>
            </w:r>
            <w:r>
              <w:rPr>
                <w:rFonts w:ascii="Times New Roman" w:hAnsi="Times New Roman"/>
                <w:sz w:val="28"/>
                <w:szCs w:val="28"/>
              </w:rPr>
              <w:t xml:space="preserve"> 油、气泄漏</w:t>
            </w:r>
          </w:p>
          <w:p>
            <w:pPr>
              <w:spacing w:line="360" w:lineRule="auto"/>
              <w:ind w:firstLine="560" w:firstLineChars="200"/>
              <w:rPr>
                <w:rFonts w:ascii="Times New Roman" w:hAnsi="Times New Roman"/>
                <w:sz w:val="28"/>
                <w:szCs w:val="28"/>
              </w:rPr>
            </w:pPr>
            <w:r>
              <w:rPr>
                <w:rFonts w:ascii="Times New Roman" w:hAnsi="Times New Roman"/>
                <w:sz w:val="28"/>
                <w:szCs w:val="28"/>
              </w:rPr>
              <w:t>本工程在生产运行过程中由于输送油品的管道、设备破损、腐蚀穿孔、接头密闭不严或人为破坏、操作失误，发生油品泄漏，对环境造成污染；一旦遇到明火、高温、雷电和静电放电等点火源，极易引发火灾和爆炸。</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②</w:t>
            </w:r>
            <w:r>
              <w:rPr>
                <w:rFonts w:ascii="Times New Roman" w:hAnsi="Times New Roman"/>
                <w:sz w:val="28"/>
                <w:szCs w:val="28"/>
              </w:rPr>
              <w:t xml:space="preserve"> 火灾爆炸</w:t>
            </w:r>
          </w:p>
          <w:p>
            <w:pPr>
              <w:spacing w:line="360" w:lineRule="auto"/>
              <w:ind w:firstLine="560" w:firstLineChars="200"/>
              <w:rPr>
                <w:rFonts w:ascii="Times New Roman" w:hAnsi="Times New Roman"/>
                <w:sz w:val="28"/>
                <w:szCs w:val="28"/>
              </w:rPr>
            </w:pPr>
            <w:r>
              <w:rPr>
                <w:rFonts w:ascii="Times New Roman" w:hAnsi="Times New Roman"/>
                <w:sz w:val="28"/>
                <w:szCs w:val="28"/>
              </w:rPr>
              <w:t>各种油品在储油罐储存时，可能产生轻组分挥发，其密度比空气重的部分，容易滞留在地表、水沟、下水道及凹坑等低处，并且贴地面流向远处，与空气混合可形成爆炸性混合物，遇明火或高热易引起燃烧、爆炸及沸溢等重大事故；如果罐顶上的疲劳裂纹发展严重，又不及时修补，那么浮顶下面的油会渗到顶上，顶上积油多，不及时清理，遇明火、高热会引起大面积燃烧。</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③</w:t>
            </w:r>
            <w:r>
              <w:rPr>
                <w:rFonts w:ascii="Times New Roman" w:hAnsi="Times New Roman"/>
                <w:sz w:val="28"/>
                <w:szCs w:val="28"/>
              </w:rPr>
              <w:t xml:space="preserve"> 风险类型识别</w:t>
            </w:r>
          </w:p>
          <w:p>
            <w:pPr>
              <w:spacing w:line="360" w:lineRule="auto"/>
              <w:ind w:firstLine="560" w:firstLineChars="200"/>
              <w:rPr>
                <w:rFonts w:ascii="Times New Roman" w:hAnsi="Times New Roman"/>
                <w:sz w:val="28"/>
                <w:szCs w:val="28"/>
              </w:rPr>
            </w:pPr>
            <w:r>
              <w:rPr>
                <w:rFonts w:ascii="Times New Roman" w:hAnsi="Times New Roman"/>
                <w:sz w:val="28"/>
                <w:szCs w:val="28"/>
              </w:rPr>
              <w:t>在本项目的风险识别中，对加油站的建设运营所涉及的风险类型进行了分析，从分析结果可以看出，无论是油品的接卸、储存还是输送，所能产生的各类风险中，火灾爆炸的危害性最大。</w:t>
            </w:r>
            <w:r>
              <w:rPr>
                <w:rFonts w:hint="eastAsia" w:ascii="Times New Roman" w:hAnsi="Times New Roman"/>
                <w:sz w:val="28"/>
                <w:szCs w:val="28"/>
              </w:rPr>
              <w:t>一旦发生泄漏、爆炸、火灾等风险，将对大气和地下水造成影响。</w:t>
            </w:r>
          </w:p>
          <w:p>
            <w:pPr>
              <w:spacing w:line="360" w:lineRule="auto"/>
              <w:ind w:firstLine="560" w:firstLineChars="200"/>
              <w:rPr>
                <w:rFonts w:ascii="Times New Roman" w:hAnsi="Times New Roman"/>
                <w:b/>
                <w:sz w:val="28"/>
                <w:szCs w:val="28"/>
              </w:rPr>
            </w:pPr>
            <w:r>
              <w:rPr>
                <w:rFonts w:hint="eastAsia" w:ascii="Times New Roman" w:hAnsi="Times New Roman"/>
                <w:b/>
                <w:sz w:val="28"/>
                <w:szCs w:val="28"/>
              </w:rPr>
              <w:t>（4） 环境风险分析</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① 对地下水的污染</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储油罐和输油管线的泄漏或渗漏对地下水的污染较为严重，地下水一旦遭到成品油的污染，将使地下水产生严重异味，并具有较强的致畸致癌性，根本无法饮用。又由于这种渗漏必然穿过较厚的土壤层，使土壤层中吸附的燃料油还会随着地表水的下渗对土壤层的冲刷作用补充到地下水，这样即便污染源得到及时控制，地下水要完全恢复也需几十年甚至上百年的时间。</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② 对大气环境的污染</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根据国内外的研究，对于突发性的事故溢油，油品溢出后在地面呈不规则的面源分布，影响油品挥发速度的主要因素为油品蒸汽压、现场风速、油品溢出面积、油品蒸汽分子平均重度。项目采用地埋式储油罐工艺，加油站一旦发生渗漏与溢出事故时，由于安装了漏油在线监测系统，可及时发现储油罐渗漏，油品渗漏量较小，再由于受储油罐罐基的保护，渗漏出的成品油将积聚在储油区。储油区表面采用了混凝土硬化，较为密闭，油品将主要通过储油区通气管及人孔井非密封处挥发，不会造成大面积的扩散，对大气环境影响较小。</w:t>
            </w:r>
          </w:p>
          <w:p>
            <w:pPr>
              <w:spacing w:line="360" w:lineRule="auto"/>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（4） </w:t>
            </w:r>
            <w:r>
              <w:rPr>
                <w:rFonts w:asciiTheme="minorEastAsia" w:hAnsiTheme="minorEastAsia" w:eastAsiaTheme="minorEastAsia"/>
                <w:b/>
                <w:sz w:val="28"/>
                <w:szCs w:val="28"/>
              </w:rPr>
              <w:t>风险防范措施</w:t>
            </w:r>
            <w:r>
              <w:rPr>
                <w:rFonts w:hint="eastAsia" w:asciiTheme="minorEastAsia" w:hAnsiTheme="minorEastAsia" w:eastAsiaTheme="minorEastAsia"/>
                <w:b/>
                <w:sz w:val="28"/>
                <w:szCs w:val="28"/>
              </w:rPr>
              <w:t>及应急要求</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① 规范化设计</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必须委托有资质单位严格按照《汽车加油加气站设计与施工规范》（GB50156-2012）（2014年局部修订版）中的规定进行设计和施工。</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② 强化管理</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各类事故及非正常生产情况的发生大多数与操作不当、管理不严有直接关系，因此必须建立健全一整套严格的管理制度。管理制度应在以下几个方面予以关注：</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a 加强油罐与管道系统的管理与维修，使整个油品储存系统处于密闭化，严格防止跑、冒、滴、漏现象发生。</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b 每个工作人员在业务上、工作上与消防安全管理上的职责、责任必须明确。</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c 对各类贮存容器、机电装置、安全设施、消防器材等，进行各种日常的、定期的、专业的防火安全检查，并将发现的问题落实到人、限期落实整改。</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d 建立夜间值班巡查制度、火险报告制度、安全奖惩制度等一系列安全防火规章制度并落实到人头。</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e 建设单位要建立严格的防火、防爆制度，建立风险事故应急对策和预案。</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③ 要按标准要求备足灭火器材</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本项目目前配置的灭火器材符合《汽车加油加气站设计与施工规范》（GB50156-2012）（2014年局部修订版）的要求。</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④ 设置预警系统</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设置可燃气体监测报警器和连锁切断系统，当一旦发生油气回收系统故障时可以第一时间预防风险事故的发生。</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（5） 事故应急预案的建立</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企业生产必然伴随着潜在的危害，如果安全措施水平高，则事故概率必然会降低，但不会为零。一旦发生事故，需要采取工程应急措施，控制和减少事故危害。如果有毒有害物泄漏到环境，则可能危害环境，需要实施社会求援，因此，需要制定应急预案，以备一旦发生风险事故时，立即启动，在严格落实应急措施后，可将风险发生的概率和影响后果降到最低限度，其风险水平可以被接受。</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企业应按照《突发环境事件应急预案管理暂行办法》和《企业事业单位突发环境事件应急预案备案管理办法（试行）》等相关文件要求编制突发环境事件应急预案，并在相应的生态环境主管部门进行备案。</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突发环境事件应急预案应包括：① 突发环境事件应急预案备案表；②环境应急预案及编制说明说明，环境应急预案包括环境应急预案的签署发布文件、环境应急预案文本，建议按照《典型行业企业突发环境事件应急预案编制指南（征求意见稿）》进行编制，编制说明包括编制过程概述、重点内容说明、征求意见及采纳情况说明、评审情况说明；③ 环境风险评估报告，应按照《企业突发环境事件风险评估指南（试行）》进行编制；④ 环境应急资源调查报告；⑤ 环境应急预案评审意见。企业编制的突发环境事件应急预案质量要符合《企业事业单位突发环境事件应急预案评审工作指南（指南）》中的相关要求。</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应急预案主要内容见下表。</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52 </w:t>
            </w:r>
            <w:r>
              <w:rPr>
                <w:rFonts w:ascii="Times New Roman" w:hAnsi="Times New Roman"/>
                <w:b/>
                <w:sz w:val="24"/>
                <w:szCs w:val="24"/>
              </w:rPr>
              <w:t xml:space="preserve">    应急预案内容</w:t>
            </w:r>
          </w:p>
          <w:tbl>
            <w:tblPr>
              <w:tblStyle w:val="2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2371"/>
              <w:gridCol w:w="584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280" w:lineRule="exact"/>
                    <w:ind w:left="-105" w:leftChars="-50" w:right="-105" w:rightChars="-50"/>
                    <w:jc w:val="center"/>
                    <w:rPr>
                      <w:rFonts w:ascii="Times New Roman" w:hAnsi="Times New Roman"/>
                      <w:szCs w:val="21"/>
                    </w:rPr>
                  </w:pPr>
                  <w:r>
                    <w:rPr>
                      <w:rFonts w:ascii="Times New Roman" w:hAnsi="Times New Roman"/>
                      <w:szCs w:val="21"/>
                    </w:rPr>
                    <w:t>序号</w:t>
                  </w:r>
                </w:p>
              </w:tc>
              <w:tc>
                <w:tcPr>
                  <w:tcW w:w="2371" w:type="dxa"/>
                  <w:vAlign w:val="center"/>
                </w:tcPr>
                <w:p>
                  <w:pPr>
                    <w:spacing w:line="280" w:lineRule="exact"/>
                    <w:ind w:left="-105" w:leftChars="-50" w:right="-105" w:rightChars="-50"/>
                    <w:jc w:val="center"/>
                    <w:rPr>
                      <w:rFonts w:ascii="Times New Roman" w:hAnsi="Times New Roman"/>
                      <w:szCs w:val="21"/>
                    </w:rPr>
                  </w:pPr>
                  <w:r>
                    <w:rPr>
                      <w:rFonts w:ascii="Times New Roman" w:hAnsi="Times New Roman"/>
                      <w:szCs w:val="21"/>
                    </w:rPr>
                    <w:t>项目</w:t>
                  </w:r>
                </w:p>
              </w:tc>
              <w:tc>
                <w:tcPr>
                  <w:tcW w:w="5843" w:type="dxa"/>
                  <w:vAlign w:val="center"/>
                </w:tcPr>
                <w:p>
                  <w:pPr>
                    <w:spacing w:line="280" w:lineRule="exact"/>
                    <w:ind w:left="-105" w:leftChars="-50" w:right="-105" w:rightChars="-50"/>
                    <w:jc w:val="center"/>
                    <w:rPr>
                      <w:rFonts w:ascii="Times New Roman" w:hAnsi="Times New Roman"/>
                      <w:szCs w:val="21"/>
                    </w:rPr>
                  </w:pPr>
                  <w:r>
                    <w:rPr>
                      <w:rFonts w:ascii="Times New Roman" w:hAnsi="Times New Roman"/>
                      <w:szCs w:val="21"/>
                    </w:rPr>
                    <w:t>内容及要求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1</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危险源情况</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详细说明危险源类型、数量、分布及其对环境的风险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2</w:t>
                  </w:r>
                </w:p>
              </w:tc>
              <w:tc>
                <w:tcPr>
                  <w:tcW w:w="2371" w:type="dxa"/>
                  <w:vAlign w:val="center"/>
                </w:tcPr>
                <w:p>
                  <w:pPr>
                    <w:spacing w:line="300" w:lineRule="exact"/>
                    <w:jc w:val="center"/>
                    <w:rPr>
                      <w:rFonts w:ascii="Times New Roman" w:hAnsi="Times New Roman"/>
                      <w:szCs w:val="21"/>
                    </w:rPr>
                  </w:pPr>
                  <w:r>
                    <w:rPr>
                      <w:rFonts w:ascii="Times New Roman" w:hAnsi="Times New Roman"/>
                      <w:szCs w:val="21"/>
                    </w:rPr>
                    <w:t>应急计划区</w:t>
                  </w:r>
                </w:p>
              </w:tc>
              <w:tc>
                <w:tcPr>
                  <w:tcW w:w="5843" w:type="dxa"/>
                  <w:vAlign w:val="center"/>
                </w:tcPr>
                <w:p>
                  <w:pPr>
                    <w:spacing w:line="300" w:lineRule="exact"/>
                    <w:jc w:val="center"/>
                    <w:rPr>
                      <w:rFonts w:ascii="Times New Roman" w:hAnsi="Times New Roman"/>
                      <w:szCs w:val="21"/>
                    </w:rPr>
                  </w:pPr>
                  <w:r>
                    <w:rPr>
                      <w:rFonts w:ascii="Times New Roman" w:hAnsi="Times New Roman"/>
                      <w:szCs w:val="21"/>
                    </w:rPr>
                    <w:t>危险目标：站区、环境保护目标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3</w:t>
                  </w:r>
                </w:p>
              </w:tc>
              <w:tc>
                <w:tcPr>
                  <w:tcW w:w="2371" w:type="dxa"/>
                  <w:vAlign w:val="center"/>
                </w:tcPr>
                <w:p>
                  <w:pPr>
                    <w:spacing w:line="300" w:lineRule="exact"/>
                    <w:jc w:val="center"/>
                    <w:rPr>
                      <w:rFonts w:ascii="Times New Roman" w:hAnsi="Times New Roman"/>
                      <w:szCs w:val="21"/>
                    </w:rPr>
                  </w:pPr>
                  <w:r>
                    <w:rPr>
                      <w:rFonts w:ascii="Times New Roman" w:hAnsi="Times New Roman"/>
                      <w:szCs w:val="21"/>
                    </w:rPr>
                    <w:t>应急组织机构、人员</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站区设应急组织机构，站区负责人负责现场全面指挥，专业救援队伍负责事故控制、救援和善后处理</w:t>
                  </w:r>
                </w:p>
                <w:p>
                  <w:pPr>
                    <w:spacing w:line="300" w:lineRule="exact"/>
                    <w:jc w:val="center"/>
                    <w:rPr>
                      <w:rFonts w:ascii="Times New Roman" w:hAnsi="Times New Roman"/>
                      <w:szCs w:val="21"/>
                    </w:rPr>
                  </w:pPr>
                  <w:r>
                    <w:rPr>
                      <w:rFonts w:ascii="Times New Roman" w:hAnsi="Times New Roman"/>
                      <w:szCs w:val="21"/>
                    </w:rPr>
                    <w:t>临近地区：由站区专人负责站区附近地区全面指挥，救援、管制和疏散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4</w:t>
                  </w:r>
                </w:p>
              </w:tc>
              <w:tc>
                <w:tcPr>
                  <w:tcW w:w="2371" w:type="dxa"/>
                  <w:vAlign w:val="center"/>
                </w:tcPr>
                <w:p>
                  <w:pPr>
                    <w:spacing w:line="300" w:lineRule="exact"/>
                    <w:jc w:val="center"/>
                    <w:rPr>
                      <w:rFonts w:ascii="Times New Roman" w:hAnsi="Times New Roman"/>
                      <w:szCs w:val="21"/>
                    </w:rPr>
                  </w:pPr>
                  <w:r>
                    <w:rPr>
                      <w:rFonts w:ascii="Times New Roman" w:hAnsi="Times New Roman"/>
                      <w:szCs w:val="21"/>
                    </w:rPr>
                    <w:t>预案分级响应条件</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规定预案的级别及相应的应急状态分类及分级响应程序以此制定相应的应急响应程序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5</w:t>
                  </w:r>
                </w:p>
              </w:tc>
              <w:tc>
                <w:tcPr>
                  <w:tcW w:w="2371" w:type="dxa"/>
                  <w:vAlign w:val="center"/>
                </w:tcPr>
                <w:p>
                  <w:pPr>
                    <w:spacing w:line="300" w:lineRule="exact"/>
                    <w:jc w:val="center"/>
                    <w:rPr>
                      <w:rFonts w:ascii="Times New Roman" w:hAnsi="Times New Roman"/>
                      <w:szCs w:val="21"/>
                    </w:rPr>
                  </w:pPr>
                  <w:r>
                    <w:rPr>
                      <w:rFonts w:ascii="Times New Roman" w:hAnsi="Times New Roman"/>
                      <w:szCs w:val="21"/>
                    </w:rPr>
                    <w:t>应急救援保障</w:t>
                  </w:r>
                </w:p>
              </w:tc>
              <w:tc>
                <w:tcPr>
                  <w:tcW w:w="5843" w:type="dxa"/>
                  <w:vAlign w:val="center"/>
                </w:tcPr>
                <w:p>
                  <w:pPr>
                    <w:spacing w:line="300" w:lineRule="exact"/>
                    <w:jc w:val="center"/>
                    <w:rPr>
                      <w:rFonts w:ascii="Times New Roman" w:hAnsi="Times New Roman"/>
                      <w:szCs w:val="21"/>
                    </w:rPr>
                  </w:pPr>
                  <w:r>
                    <w:rPr>
                      <w:rFonts w:ascii="Times New Roman" w:hAnsi="Times New Roman"/>
                      <w:szCs w:val="21"/>
                    </w:rPr>
                    <w:t>应急设施，设备与器材等</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6</w:t>
                  </w:r>
                </w:p>
              </w:tc>
              <w:tc>
                <w:tcPr>
                  <w:tcW w:w="2371" w:type="dxa"/>
                  <w:vAlign w:val="center"/>
                </w:tcPr>
                <w:p>
                  <w:pPr>
                    <w:spacing w:line="300" w:lineRule="exact"/>
                    <w:jc w:val="center"/>
                    <w:rPr>
                      <w:rFonts w:ascii="Times New Roman" w:hAnsi="Times New Roman"/>
                      <w:szCs w:val="21"/>
                    </w:rPr>
                  </w:pPr>
                  <w:r>
                    <w:rPr>
                      <w:rFonts w:ascii="Times New Roman" w:hAnsi="Times New Roman"/>
                      <w:szCs w:val="21"/>
                    </w:rPr>
                    <w:t>报警、通讯联络方式</w:t>
                  </w:r>
                </w:p>
              </w:tc>
              <w:tc>
                <w:tcPr>
                  <w:tcW w:w="5843" w:type="dxa"/>
                  <w:vAlign w:val="center"/>
                </w:tcPr>
                <w:p>
                  <w:pPr>
                    <w:spacing w:line="300" w:lineRule="exact"/>
                    <w:jc w:val="center"/>
                    <w:rPr>
                      <w:rFonts w:ascii="Times New Roman" w:hAnsi="Times New Roman"/>
                      <w:szCs w:val="21"/>
                    </w:rPr>
                  </w:pPr>
                  <w:r>
                    <w:rPr>
                      <w:rFonts w:ascii="Times New Roman" w:hAnsi="Times New Roman"/>
                      <w:szCs w:val="21"/>
                    </w:rPr>
                    <w:t>规定应急状态下的报警通讯方式、通知方式和交通保障、管制等事项</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7</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应急环境监测、抢险、救援及控制措施</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由专业队伍负责对事故现场进行侦察监测，对事故性质、严重程度等所造成的环境危害后果进行评估，吸取经验教训免再次发生事故，为指挥部门提供决策依据为指挥部门提供决策依据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8</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应急检测、防护措施、清除泄漏措施和器材</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事故现场、邻近区域、控制防火区域，控制和清除污染措施及相应设备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9</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应急防护措施消除泄漏措施及需使用器材</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事故现场：控制事故发展，防止扩大、蔓延及连锁反应；清除现场泄漏物，降低危害：相应的设施器材配备</w:t>
                  </w:r>
                </w:p>
                <w:p>
                  <w:pPr>
                    <w:spacing w:line="300" w:lineRule="exact"/>
                    <w:jc w:val="center"/>
                    <w:textAlignment w:val="center"/>
                    <w:rPr>
                      <w:rFonts w:ascii="Times New Roman" w:hAnsi="Times New Roman"/>
                      <w:szCs w:val="21"/>
                    </w:rPr>
                  </w:pPr>
                  <w:r>
                    <w:rPr>
                      <w:rFonts w:ascii="Times New Roman" w:hAnsi="Times New Roman"/>
                      <w:szCs w:val="21"/>
                    </w:rPr>
                    <w:t>临近地区：划分腐蚀区域，控制和消除环境污染的措施及相应的设备配备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10</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人员紧急撤离、疏散，应急剂量控制、撤离组织计划</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事故现场、邻近区、受事故影响的区域人员；撤离组织计划；医疗救护</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11</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事故应急救援关闭程序与恢复措施</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规定应急状态终止程序；事故现场善后处理，恢复措施；邻近区域解除事故警戒及善后恢复措施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12</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应急培训计划</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应急计划制定后，平时安排事故处理人员进行相关知识培训进行事故应急处理演习；对站区人员进行安全卫生教育</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13</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公众教育和信息</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对站区邻近地区公众开展环境风险事故预防教育、应急知识培训并定期发布相关信息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88" w:type="dxa"/>
                  <w:vAlign w:val="center"/>
                </w:tcPr>
                <w:p>
                  <w:pPr>
                    <w:spacing w:line="300" w:lineRule="exact"/>
                    <w:jc w:val="center"/>
                    <w:rPr>
                      <w:rFonts w:ascii="Times New Roman" w:hAnsi="Times New Roman"/>
                      <w:szCs w:val="21"/>
                    </w:rPr>
                  </w:pPr>
                  <w:r>
                    <w:rPr>
                      <w:rFonts w:ascii="Times New Roman" w:hAnsi="Times New Roman"/>
                      <w:szCs w:val="21"/>
                    </w:rPr>
                    <w:t>14</w:t>
                  </w:r>
                </w:p>
              </w:tc>
              <w:tc>
                <w:tcPr>
                  <w:tcW w:w="2371" w:type="dxa"/>
                  <w:vAlign w:val="center"/>
                </w:tcPr>
                <w:p>
                  <w:pPr>
                    <w:spacing w:line="300" w:lineRule="exact"/>
                    <w:jc w:val="center"/>
                    <w:textAlignment w:val="center"/>
                    <w:rPr>
                      <w:rFonts w:ascii="Times New Roman" w:hAnsi="Times New Roman"/>
                      <w:szCs w:val="21"/>
                    </w:rPr>
                  </w:pPr>
                  <w:r>
                    <w:rPr>
                      <w:rFonts w:ascii="Times New Roman" w:hAnsi="Times New Roman"/>
                      <w:szCs w:val="21"/>
                    </w:rPr>
                    <w:t>记录和报告</w:t>
                  </w:r>
                </w:p>
              </w:tc>
              <w:tc>
                <w:tcPr>
                  <w:tcW w:w="5843" w:type="dxa"/>
                  <w:vAlign w:val="center"/>
                </w:tcPr>
                <w:p>
                  <w:pPr>
                    <w:spacing w:line="300" w:lineRule="exact"/>
                    <w:jc w:val="center"/>
                    <w:textAlignment w:val="center"/>
                    <w:rPr>
                      <w:rFonts w:ascii="Times New Roman" w:hAnsi="Times New Roman"/>
                      <w:szCs w:val="21"/>
                    </w:rPr>
                  </w:pPr>
                  <w:r>
                    <w:rPr>
                      <w:rFonts w:ascii="Times New Roman" w:hAnsi="Times New Roman"/>
                      <w:szCs w:val="21"/>
                    </w:rPr>
                    <w:t>设应急专门记录，建立档案和报告制度，设专门部门负责管理</w:t>
                  </w:r>
                </w:p>
              </w:tc>
            </w:tr>
          </w:tbl>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5</w:t>
            </w:r>
            <w:r>
              <w:rPr>
                <w:rFonts w:asciiTheme="minorEastAsia" w:hAnsiTheme="minorEastAsia" w:eastAsiaTheme="minorEastAsia"/>
                <w:sz w:val="28"/>
                <w:szCs w:val="28"/>
              </w:rPr>
              <w:t>）</w:t>
            </w:r>
            <w:r>
              <w:rPr>
                <w:rFonts w:hint="eastAsia" w:asciiTheme="minorEastAsia" w:hAnsiTheme="minorEastAsia" w:eastAsiaTheme="minorEastAsia"/>
                <w:sz w:val="28"/>
                <w:szCs w:val="28"/>
              </w:rPr>
              <w:t xml:space="preserve"> 分析结论</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根据《建设项目环境风险评价技术导则》（HJ/T169-2018）附录B对项目储存物料的临界量，项目风险潜势为I，评价工作等级为“简单分析”。建设单位在采取相应风险防范措施以及制定应急预案之后，环境风险水平可接受。</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项目环境风险简单分析内容表如下。</w:t>
            </w:r>
          </w:p>
          <w:p>
            <w:pPr>
              <w:spacing w:line="360" w:lineRule="auto"/>
              <w:jc w:val="center"/>
              <w:rPr>
                <w:rFonts w:ascii="Times New Roman" w:hAnsi="Times New Roman"/>
                <w:b/>
                <w:sz w:val="24"/>
                <w:szCs w:val="24"/>
              </w:rPr>
            </w:pPr>
            <w:r>
              <w:rPr>
                <w:rFonts w:hint="eastAsia" w:ascii="Times New Roman" w:hAnsi="Times New Roman"/>
                <w:b/>
                <w:sz w:val="24"/>
                <w:szCs w:val="24"/>
              </w:rPr>
              <w:t>表53    建设项目环境风险简单分析内容表</w:t>
            </w:r>
          </w:p>
          <w:tbl>
            <w:tblPr>
              <w:tblStyle w:val="26"/>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1735"/>
              <w:gridCol w:w="1664"/>
              <w:gridCol w:w="1595"/>
              <w:gridCol w:w="1346"/>
              <w:gridCol w:w="1330"/>
              <w:gridCol w:w="1452"/>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51"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建设项目名称</w:t>
                  </w:r>
                </w:p>
              </w:tc>
              <w:tc>
                <w:tcPr>
                  <w:tcW w:w="4049" w:type="pct"/>
                  <w:gridSpan w:val="5"/>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同江市桥头加油站项目</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51"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建设地点</w:t>
                  </w:r>
                </w:p>
              </w:tc>
              <w:tc>
                <w:tcPr>
                  <w:tcW w:w="912"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（黑龙江）省</w:t>
                  </w:r>
                </w:p>
              </w:tc>
              <w:tc>
                <w:tcPr>
                  <w:tcW w:w="874"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（同江市）市</w:t>
                  </w:r>
                </w:p>
              </w:tc>
              <w:tc>
                <w:tcPr>
                  <w:tcW w:w="738"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w:t>
                  </w:r>
                </w:p>
              </w:tc>
              <w:tc>
                <w:tcPr>
                  <w:tcW w:w="729"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（/）镇</w:t>
                  </w:r>
                </w:p>
              </w:tc>
              <w:tc>
                <w:tcPr>
                  <w:tcW w:w="797"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（）园区</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51"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地理坐标</w:t>
                  </w:r>
                </w:p>
              </w:tc>
              <w:tc>
                <w:tcPr>
                  <w:tcW w:w="912"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经度</w:t>
                  </w:r>
                </w:p>
              </w:tc>
              <w:tc>
                <w:tcPr>
                  <w:tcW w:w="874" w:type="pct"/>
                  <w:vAlign w:val="center"/>
                </w:tcPr>
                <w:p>
                  <w:pPr>
                    <w:spacing w:line="0" w:lineRule="atLeast"/>
                    <w:jc w:val="center"/>
                    <w:rPr>
                      <w:rFonts w:asciiTheme="minorEastAsia" w:hAnsiTheme="minorEastAsia" w:eastAsiaTheme="minorEastAsia"/>
                      <w:szCs w:val="21"/>
                    </w:rPr>
                  </w:pPr>
                  <w:r>
                    <w:rPr>
                      <w:rFonts w:ascii="Times New Roman" w:hAnsi="Times New Roman"/>
                      <w:sz w:val="18"/>
                      <w:szCs w:val="18"/>
                    </w:rPr>
                    <w:t>132.628412</w:t>
                  </w:r>
                </w:p>
              </w:tc>
              <w:tc>
                <w:tcPr>
                  <w:tcW w:w="738"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纬度</w:t>
                  </w:r>
                </w:p>
              </w:tc>
              <w:tc>
                <w:tcPr>
                  <w:tcW w:w="1526" w:type="pct"/>
                  <w:gridSpan w:val="2"/>
                  <w:vAlign w:val="center"/>
                </w:tcPr>
                <w:p>
                  <w:pPr>
                    <w:spacing w:line="0" w:lineRule="atLeast"/>
                    <w:jc w:val="center"/>
                    <w:rPr>
                      <w:rFonts w:asciiTheme="minorEastAsia" w:hAnsiTheme="minorEastAsia" w:eastAsiaTheme="minorEastAsia"/>
                      <w:szCs w:val="21"/>
                    </w:rPr>
                  </w:pPr>
                  <w:r>
                    <w:rPr>
                      <w:rFonts w:ascii="Times New Roman" w:hAnsi="Times New Roman"/>
                      <w:sz w:val="18"/>
                      <w:szCs w:val="18"/>
                    </w:rPr>
                    <w:t>47.738934</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51"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主要危险物质及分布</w:t>
                  </w:r>
                </w:p>
              </w:tc>
              <w:tc>
                <w:tcPr>
                  <w:tcW w:w="4049" w:type="pct"/>
                  <w:gridSpan w:val="5"/>
                  <w:vAlign w:val="center"/>
                </w:tcPr>
                <w:p>
                  <w:pPr>
                    <w:spacing w:line="0" w:lineRule="atLeast"/>
                    <w:jc w:val="center"/>
                    <w:rPr>
                      <w:rFonts w:asciiTheme="minorEastAsia" w:hAnsiTheme="minorEastAsia" w:eastAsiaTheme="minorEastAsia"/>
                      <w:szCs w:val="21"/>
                    </w:rPr>
                  </w:pPr>
                  <w:r>
                    <w:rPr>
                      <w:rFonts w:asciiTheme="minorEastAsia" w:hAnsiTheme="minorEastAsia" w:eastAsiaTheme="minorEastAsia"/>
                      <w:szCs w:val="21"/>
                    </w:rPr>
                    <w:t>本项目危险物质主要为</w:t>
                  </w:r>
                  <w:r>
                    <w:rPr>
                      <w:rFonts w:hint="eastAsia" w:ascii="Times New Roman" w:hAnsi="Times New Roman"/>
                      <w:szCs w:val="21"/>
                    </w:rPr>
                    <w:t>卧式埋地储油罐5个（非承重罐SF双层储罐）：其中容积为50 m</w:t>
                  </w:r>
                  <w:r>
                    <w:rPr>
                      <w:rFonts w:hint="eastAsia" w:ascii="Times New Roman" w:hAnsi="Times New Roman"/>
                      <w:szCs w:val="21"/>
                      <w:vertAlign w:val="superscript"/>
                    </w:rPr>
                    <w:t>3</w:t>
                  </w:r>
                  <w:r>
                    <w:rPr>
                      <w:rFonts w:hint="eastAsia" w:ascii="Times New Roman" w:hAnsi="Times New Roman"/>
                      <w:szCs w:val="21"/>
                    </w:rPr>
                    <w:t>和25m</w:t>
                  </w:r>
                  <w:r>
                    <w:rPr>
                      <w:rFonts w:hint="eastAsia" w:ascii="Times New Roman" w:hAnsi="Times New Roman"/>
                      <w:szCs w:val="21"/>
                      <w:vertAlign w:val="superscript"/>
                    </w:rPr>
                    <w:t>3</w:t>
                  </w:r>
                  <w:r>
                    <w:rPr>
                      <w:rFonts w:hint="eastAsia" w:ascii="Times New Roman" w:hAnsi="Times New Roman"/>
                      <w:szCs w:val="21"/>
                    </w:rPr>
                    <w:t>的汽油储罐各1座；容积50m</w:t>
                  </w:r>
                  <w:r>
                    <w:rPr>
                      <w:rFonts w:hint="eastAsia" w:ascii="Times New Roman" w:hAnsi="Times New Roman"/>
                      <w:szCs w:val="21"/>
                      <w:vertAlign w:val="superscript"/>
                    </w:rPr>
                    <w:t>3</w:t>
                  </w:r>
                  <w:r>
                    <w:rPr>
                      <w:rFonts w:hint="eastAsia" w:ascii="Times New Roman" w:hAnsi="Times New Roman"/>
                      <w:szCs w:val="21"/>
                    </w:rPr>
                    <w:t>的柴油储罐3座</w:t>
                  </w:r>
                  <w:r>
                    <w:rPr>
                      <w:rFonts w:hint="eastAsia" w:asciiTheme="minorEastAsia" w:hAnsiTheme="minorEastAsia" w:eastAsiaTheme="minorEastAsia"/>
                      <w:szCs w:val="21"/>
                    </w:rPr>
                    <w:t>。</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51"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环境影响途径及危害后果</w:t>
                  </w:r>
                </w:p>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（大气、地表水、地下水等）</w:t>
                  </w:r>
                </w:p>
              </w:tc>
              <w:tc>
                <w:tcPr>
                  <w:tcW w:w="4049" w:type="pct"/>
                  <w:gridSpan w:val="5"/>
                  <w:vAlign w:val="center"/>
                </w:tcPr>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 xml:space="preserve">① </w:t>
                  </w:r>
                  <w:r>
                    <w:rPr>
                      <w:rFonts w:asciiTheme="minorEastAsia" w:hAnsiTheme="minorEastAsia" w:eastAsiaTheme="minorEastAsia"/>
                      <w:szCs w:val="21"/>
                    </w:rPr>
                    <w:t>地下水：储油罐和输油管线的泄漏或渗漏对地下水的污染较为严重，地下水一旦遭到成品油的污染，将使地下水产生严重异味，并具有较强的致畸致癌性，根本无法饮用。又由于这种渗漏必然穿过较厚的土壤层，使土壤层中吸附的燃料油还会随着地表水的下渗对土壤层的冲刷作用补充到地下水，这样即便污染源得到及时控制，地下水要完全恢复也需几十年甚至上百年的时间。</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 xml:space="preserve">② </w:t>
                  </w:r>
                  <w:r>
                    <w:rPr>
                      <w:rFonts w:asciiTheme="minorEastAsia" w:hAnsiTheme="minorEastAsia" w:eastAsiaTheme="minorEastAsia"/>
                      <w:szCs w:val="21"/>
                    </w:rPr>
                    <w:t>大气：根据国内外的研究，对于突发性的事故溢油，油品溢出后在地面呈不规则的面源分布，影响油品挥发速度的主要因素为油品蒸汽压、现场风速、油品溢出面积、油品蒸汽分子平均重度。项目采用地埋式储油罐工艺，加油站一旦发生渗漏与溢出事故时，由于安装了漏油在线监测系统，可及时发现储油罐渗漏，油品渗漏量较小，再由于受储油罐罐基的保护，渗漏出的成品油将积聚在储油区。储油区表面采用了混凝土硬化，较为密闭，油品将主要通过储油区通气管及人孔井非密封处挥发，不会造成大面积的扩散，对大气环境影响较小。</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51" w:type="pct"/>
                  <w:vAlign w:val="center"/>
                </w:tcPr>
                <w:p>
                  <w:pPr>
                    <w:spacing w:line="0" w:lineRule="atLeast"/>
                    <w:jc w:val="center"/>
                    <w:rPr>
                      <w:rFonts w:asciiTheme="minorEastAsia" w:hAnsiTheme="minorEastAsia" w:eastAsiaTheme="minorEastAsia"/>
                      <w:szCs w:val="21"/>
                    </w:rPr>
                  </w:pPr>
                  <w:r>
                    <w:rPr>
                      <w:rFonts w:hint="eastAsia" w:asciiTheme="minorEastAsia" w:hAnsiTheme="minorEastAsia" w:eastAsiaTheme="minorEastAsia"/>
                      <w:szCs w:val="21"/>
                    </w:rPr>
                    <w:t>风险防范措施要求</w:t>
                  </w:r>
                </w:p>
              </w:tc>
              <w:tc>
                <w:tcPr>
                  <w:tcW w:w="4049" w:type="pct"/>
                  <w:gridSpan w:val="5"/>
                  <w:vAlign w:val="center"/>
                </w:tcPr>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① 规范化设计</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必须委托有资质单位严格按照《汽车加油加气站设计与施工规范》（GB50156-2012）（2014年局部修订版）中的规定进行设计和施工。</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②  强化管理</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各类事故及非正常生产情况的发生大多数与操作不当、管理不严有直接关系，因此必须建立健全一整套严格的管理制度。管理制度应在以下几个方面予以关注：</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a 加强油罐与管道系统的管理与维修，使整个油品储存系统处于密闭化，严格防止跑、冒、滴、漏现象发生。</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b 每个工作人员在业务上、工作上与消防安全管理上的职责、责任必须明确。</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c 对各类贮存容器、机电装置、安全设施、消防器材等，进行各种日常的、定期的、专业的防火安全检查，并将发现的问题落实到人、限期落实整改。</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d 建立夜间值班巡查制度、火险报告制度、安全奖惩制度等一系列安全防火规章制度并落实到人头。</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e 建设单位要建立严格的防火、防爆制度，建立风险事故应急对策和预案。</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③ 要按标准要求备足灭火器材</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本项目目前配置的灭火器材符合《汽车加油加气站设计与施工规范》（GB50156-2012）（2014年局部修订版）的要求。</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④ 设置预警系统</w:t>
                  </w:r>
                </w:p>
                <w:p>
                  <w:pPr>
                    <w:spacing w:line="0" w:lineRule="atLeast"/>
                    <w:rPr>
                      <w:rFonts w:asciiTheme="minorEastAsia" w:hAnsiTheme="minorEastAsia" w:eastAsiaTheme="minorEastAsia"/>
                      <w:szCs w:val="21"/>
                    </w:rPr>
                  </w:pPr>
                  <w:r>
                    <w:rPr>
                      <w:rFonts w:hint="eastAsia" w:asciiTheme="minorEastAsia" w:hAnsiTheme="minorEastAsia" w:eastAsiaTheme="minorEastAsia"/>
                      <w:szCs w:val="21"/>
                    </w:rPr>
                    <w:t>设置可燃气体监测报警器和连锁切断系统，当一旦发生油气回收系统故障时可以第一时间预防风险事故的发生。</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6"/>
                  <w:vAlign w:val="center"/>
                </w:tcPr>
                <w:p>
                  <w:pPr>
                    <w:rPr>
                      <w:rFonts w:asciiTheme="minorEastAsia" w:hAnsiTheme="minorEastAsia" w:eastAsiaTheme="minorEastAsia"/>
                      <w:szCs w:val="21"/>
                    </w:rPr>
                  </w:pPr>
                  <w:r>
                    <w:rPr>
                      <w:rFonts w:hint="eastAsia" w:asciiTheme="minorEastAsia" w:hAnsiTheme="minorEastAsia" w:eastAsiaTheme="minorEastAsia"/>
                      <w:szCs w:val="21"/>
                    </w:rPr>
                    <w:t>填表说明（列出项目相关信息及评价说明）</w:t>
                  </w:r>
                </w:p>
              </w:tc>
            </w:tr>
          </w:tbl>
          <w:p>
            <w:pPr>
              <w:spacing w:line="360" w:lineRule="auto"/>
              <w:rPr>
                <w:rFonts w:ascii="Times New Roman" w:hAnsi="Times New Roman"/>
                <w:b/>
                <w:sz w:val="28"/>
                <w:szCs w:val="28"/>
              </w:rPr>
            </w:pPr>
            <w:r>
              <w:rPr>
                <w:rFonts w:ascii="Times New Roman" w:hAnsi="Times New Roman"/>
                <w:b/>
                <w:sz w:val="28"/>
                <w:szCs w:val="28"/>
              </w:rPr>
              <w:t>三、环保“三同时”竣工验收</w:t>
            </w:r>
          </w:p>
          <w:p>
            <w:pPr>
              <w:spacing w:line="360" w:lineRule="auto"/>
              <w:ind w:firstLine="576"/>
              <w:rPr>
                <w:rFonts w:ascii="Times New Roman" w:hAnsi="Times New Roman"/>
                <w:sz w:val="28"/>
                <w:szCs w:val="28"/>
              </w:rPr>
            </w:pPr>
            <w:r>
              <w:rPr>
                <w:rFonts w:ascii="Times New Roman" w:hAnsi="Times New Roman"/>
                <w:sz w:val="28"/>
                <w:szCs w:val="28"/>
              </w:rPr>
              <w:t>本项目的环保设施三同时竣工验收一览表见下表。</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54  </w:t>
            </w:r>
            <w:r>
              <w:rPr>
                <w:rFonts w:ascii="Times New Roman" w:hAnsi="Times New Roman"/>
                <w:b/>
                <w:sz w:val="24"/>
                <w:szCs w:val="24"/>
              </w:rPr>
              <w:t xml:space="preserve">   建设项目环保验收一览表</w:t>
            </w:r>
          </w:p>
          <w:tbl>
            <w:tblPr>
              <w:tblStyle w:val="26"/>
              <w:tblW w:w="850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415"/>
              <w:gridCol w:w="2552"/>
              <w:gridCol w:w="1136"/>
              <w:gridCol w:w="27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04" w:type="pct"/>
                  <w:vAlign w:val="center"/>
                </w:tcPr>
                <w:p>
                  <w:pPr>
                    <w:spacing w:line="300" w:lineRule="exact"/>
                    <w:jc w:val="center"/>
                    <w:rPr>
                      <w:rFonts w:ascii="Times New Roman" w:hAnsi="Times New Roman"/>
                      <w:szCs w:val="21"/>
                    </w:rPr>
                  </w:pPr>
                  <w:r>
                    <w:rPr>
                      <w:rFonts w:ascii="Times New Roman" w:hAnsi="Times New Roman"/>
                      <w:szCs w:val="21"/>
                    </w:rPr>
                    <w:t>环境要素</w:t>
                  </w:r>
                </w:p>
              </w:tc>
              <w:tc>
                <w:tcPr>
                  <w:tcW w:w="832" w:type="pct"/>
                  <w:vAlign w:val="center"/>
                </w:tcPr>
                <w:p>
                  <w:pPr>
                    <w:spacing w:line="300" w:lineRule="exact"/>
                    <w:jc w:val="center"/>
                    <w:rPr>
                      <w:rFonts w:ascii="Times New Roman" w:hAnsi="Times New Roman"/>
                      <w:szCs w:val="21"/>
                    </w:rPr>
                  </w:pPr>
                  <w:r>
                    <w:rPr>
                      <w:rFonts w:ascii="Times New Roman" w:hAnsi="Times New Roman"/>
                      <w:szCs w:val="21"/>
                    </w:rPr>
                    <w:t>验收项目</w:t>
                  </w:r>
                </w:p>
              </w:tc>
              <w:tc>
                <w:tcPr>
                  <w:tcW w:w="1500" w:type="pct"/>
                  <w:vAlign w:val="center"/>
                </w:tcPr>
                <w:p>
                  <w:pPr>
                    <w:spacing w:line="300" w:lineRule="exact"/>
                    <w:jc w:val="center"/>
                    <w:rPr>
                      <w:rFonts w:ascii="Times New Roman" w:hAnsi="Times New Roman"/>
                      <w:szCs w:val="21"/>
                    </w:rPr>
                  </w:pPr>
                  <w:r>
                    <w:rPr>
                      <w:rFonts w:ascii="Times New Roman" w:hAnsi="Times New Roman"/>
                      <w:szCs w:val="21"/>
                    </w:rPr>
                    <w:t>验收内容</w:t>
                  </w:r>
                </w:p>
              </w:tc>
              <w:tc>
                <w:tcPr>
                  <w:tcW w:w="668" w:type="pct"/>
                  <w:vAlign w:val="center"/>
                </w:tcPr>
                <w:p>
                  <w:pPr>
                    <w:spacing w:line="300" w:lineRule="exact"/>
                    <w:jc w:val="center"/>
                    <w:rPr>
                      <w:rFonts w:ascii="Times New Roman" w:hAnsi="Times New Roman"/>
                      <w:szCs w:val="21"/>
                    </w:rPr>
                  </w:pPr>
                  <w:r>
                    <w:rPr>
                      <w:rFonts w:ascii="Times New Roman" w:hAnsi="Times New Roman"/>
                      <w:szCs w:val="21"/>
                    </w:rPr>
                    <w:t>监测点位</w:t>
                  </w:r>
                </w:p>
              </w:tc>
              <w:tc>
                <w:tcPr>
                  <w:tcW w:w="1596" w:type="pct"/>
                  <w:vAlign w:val="center"/>
                </w:tcPr>
                <w:p>
                  <w:pPr>
                    <w:spacing w:line="300" w:lineRule="exact"/>
                    <w:jc w:val="center"/>
                    <w:rPr>
                      <w:rFonts w:ascii="Times New Roman" w:hAnsi="Times New Roman"/>
                      <w:szCs w:val="21"/>
                    </w:rPr>
                  </w:pPr>
                  <w:r>
                    <w:rPr>
                      <w:rFonts w:ascii="Times New Roman" w:hAnsi="Times New Roman"/>
                      <w:szCs w:val="21"/>
                    </w:rPr>
                    <w:t>验收标准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404" w:type="pct"/>
                  <w:vMerge w:val="restart"/>
                  <w:vAlign w:val="center"/>
                </w:tcPr>
                <w:p>
                  <w:pPr>
                    <w:spacing w:line="300" w:lineRule="exact"/>
                    <w:jc w:val="center"/>
                    <w:rPr>
                      <w:rFonts w:ascii="Times New Roman" w:hAnsi="Times New Roman"/>
                      <w:szCs w:val="21"/>
                    </w:rPr>
                  </w:pPr>
                  <w:r>
                    <w:rPr>
                      <w:rFonts w:ascii="Times New Roman" w:hAnsi="Times New Roman"/>
                      <w:szCs w:val="21"/>
                    </w:rPr>
                    <w:t>大气环境</w:t>
                  </w:r>
                </w:p>
              </w:tc>
              <w:tc>
                <w:tcPr>
                  <w:tcW w:w="832" w:type="pct"/>
                  <w:vMerge w:val="restart"/>
                  <w:vAlign w:val="center"/>
                </w:tcPr>
                <w:p>
                  <w:pPr>
                    <w:spacing w:line="300" w:lineRule="exact"/>
                    <w:jc w:val="center"/>
                    <w:rPr>
                      <w:rFonts w:ascii="Times New Roman" w:hAnsi="Times New Roman"/>
                      <w:szCs w:val="21"/>
                    </w:rPr>
                  </w:pPr>
                  <w:r>
                    <w:rPr>
                      <w:rFonts w:ascii="Times New Roman" w:hAnsi="Times New Roman"/>
                      <w:szCs w:val="21"/>
                    </w:rPr>
                    <w:t>非甲烷总烃</w:t>
                  </w:r>
                </w:p>
              </w:tc>
              <w:tc>
                <w:tcPr>
                  <w:tcW w:w="1500" w:type="pct"/>
                  <w:vAlign w:val="center"/>
                </w:tcPr>
                <w:p>
                  <w:pPr>
                    <w:spacing w:line="300" w:lineRule="exact"/>
                    <w:jc w:val="center"/>
                    <w:rPr>
                      <w:rFonts w:ascii="Times New Roman" w:hAnsi="Times New Roman"/>
                      <w:szCs w:val="21"/>
                    </w:rPr>
                  </w:pPr>
                  <w:r>
                    <w:rPr>
                      <w:rFonts w:hint="eastAsia" w:ascii="Times New Roman" w:hAnsi="Times New Roman"/>
                      <w:szCs w:val="21"/>
                    </w:rPr>
                    <w:t>加油站汽油卸油时排放的油气，采用密闭收集为基础的卸油油气回收系统进行回收，卸油的回收效率95%；汽油加油机排放的油气，采用分散式加油油气回收装置，加油回收效率90%。柴油储罐油罐密闭措施可以有效控制柴油储存过程中的呼吸损失。</w:t>
                  </w:r>
                </w:p>
              </w:tc>
              <w:tc>
                <w:tcPr>
                  <w:tcW w:w="668" w:type="pct"/>
                  <w:vAlign w:val="center"/>
                </w:tcPr>
                <w:p>
                  <w:pPr>
                    <w:spacing w:line="300" w:lineRule="exact"/>
                    <w:jc w:val="center"/>
                    <w:rPr>
                      <w:rFonts w:ascii="Times New Roman" w:hAnsi="Times New Roman"/>
                      <w:szCs w:val="21"/>
                    </w:rPr>
                  </w:pPr>
                  <w:r>
                    <w:rPr>
                      <w:rFonts w:ascii="Times New Roman" w:hAnsi="Times New Roman"/>
                      <w:szCs w:val="21"/>
                    </w:rPr>
                    <w:t>加油站最近点下风向</w:t>
                  </w:r>
                </w:p>
              </w:tc>
              <w:tc>
                <w:tcPr>
                  <w:tcW w:w="1596" w:type="pct"/>
                  <w:vAlign w:val="center"/>
                </w:tcPr>
                <w:p>
                  <w:pPr>
                    <w:spacing w:line="300" w:lineRule="exact"/>
                    <w:jc w:val="center"/>
                    <w:rPr>
                      <w:rFonts w:ascii="Times New Roman" w:hAnsi="Times New Roman"/>
                      <w:szCs w:val="21"/>
                    </w:rPr>
                  </w:pPr>
                  <w:r>
                    <w:rPr>
                      <w:rFonts w:ascii="Times New Roman" w:hAnsi="Times New Roman"/>
                      <w:szCs w:val="21"/>
                    </w:rPr>
                    <w:t>符合《大气污染物综合排放标准》（GB16297－1996）表2中非甲烷总烃周界外浓度最高点无组织排放监控浓度限值≤4.0mg/m</w:t>
                  </w:r>
                  <w:r>
                    <w:rPr>
                      <w:rFonts w:ascii="Times New Roman" w:hAnsi="Times New Roman"/>
                      <w:szCs w:val="21"/>
                      <w:vertAlign w:val="superscript"/>
                    </w:rPr>
                    <w:t>3</w:t>
                  </w:r>
                  <w:r>
                    <w:rPr>
                      <w:rFonts w:ascii="Times New Roman" w:hAnsi="Times New Roman"/>
                      <w:szCs w:val="21"/>
                    </w:rPr>
                    <w:t>。</w:t>
                  </w:r>
                  <w:r>
                    <w:rPr>
                      <w:rFonts w:hint="eastAsia"/>
                      <w:szCs w:val="21"/>
                    </w:rPr>
                    <w:t>站内</w:t>
                  </w:r>
                  <w:r>
                    <w:rPr>
                      <w:szCs w:val="21"/>
                    </w:rPr>
                    <w:t>满足《</w:t>
                  </w:r>
                  <w:r>
                    <w:rPr>
                      <w:rFonts w:hint="eastAsia"/>
                      <w:szCs w:val="21"/>
                    </w:rPr>
                    <w:t>挥发性</w:t>
                  </w:r>
                  <w:r>
                    <w:rPr>
                      <w:szCs w:val="21"/>
                    </w:rPr>
                    <w:t>有机物无组织排放标准》（GB</w:t>
                  </w:r>
                  <w:r>
                    <w:rPr>
                      <w:rFonts w:hint="eastAsia"/>
                      <w:szCs w:val="21"/>
                    </w:rPr>
                    <w:t>37822</w:t>
                  </w:r>
                  <w:r>
                    <w:rPr>
                      <w:szCs w:val="21"/>
                    </w:rPr>
                    <w:t>-20</w:t>
                  </w:r>
                  <w:r>
                    <w:rPr>
                      <w:rFonts w:hint="eastAsia"/>
                      <w:szCs w:val="21"/>
                    </w:rPr>
                    <w:t>19</w:t>
                  </w:r>
                  <w:r>
                    <w:rPr>
                      <w:szCs w:val="21"/>
                    </w:rPr>
                    <w:t>）中表</w:t>
                  </w:r>
                  <w:r>
                    <w:rPr>
                      <w:rFonts w:hint="eastAsia"/>
                      <w:szCs w:val="21"/>
                    </w:rPr>
                    <w:t>A.1无组织排放限值（1h平均浓度≤10mg/m</w:t>
                  </w:r>
                  <w:r>
                    <w:rPr>
                      <w:rFonts w:hint="eastAsia"/>
                      <w:szCs w:val="21"/>
                      <w:vertAlign w:val="superscript"/>
                    </w:rPr>
                    <w:t>3</w:t>
                  </w:r>
                  <w:r>
                    <w:rPr>
                      <w:rFonts w:hint="eastAsia"/>
                      <w:szCs w:val="21"/>
                    </w:rPr>
                    <w:t>，任意一次浓度值≤30mg/m</w:t>
                  </w:r>
                  <w:r>
                    <w:rPr>
                      <w:rFonts w:hint="eastAsia"/>
                      <w:szCs w:val="21"/>
                      <w:vertAlign w:val="superscript"/>
                    </w:rPr>
                    <w:t>3</w:t>
                  </w: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404" w:type="pct"/>
                  <w:vMerge w:val="continue"/>
                  <w:vAlign w:val="center"/>
                </w:tcPr>
                <w:p>
                  <w:pPr>
                    <w:spacing w:line="300" w:lineRule="exact"/>
                    <w:jc w:val="center"/>
                    <w:rPr>
                      <w:rFonts w:ascii="Times New Roman" w:hAnsi="Times New Roman"/>
                      <w:szCs w:val="21"/>
                    </w:rPr>
                  </w:pPr>
                </w:p>
              </w:tc>
              <w:tc>
                <w:tcPr>
                  <w:tcW w:w="832" w:type="pct"/>
                  <w:vMerge w:val="continue"/>
                  <w:vAlign w:val="center"/>
                </w:tcPr>
                <w:p>
                  <w:pPr>
                    <w:spacing w:line="300" w:lineRule="exact"/>
                    <w:jc w:val="center"/>
                    <w:rPr>
                      <w:rFonts w:ascii="Times New Roman" w:hAnsi="Times New Roman"/>
                      <w:szCs w:val="21"/>
                    </w:rPr>
                  </w:pPr>
                </w:p>
              </w:tc>
              <w:tc>
                <w:tcPr>
                  <w:tcW w:w="1500" w:type="pct"/>
                  <w:vAlign w:val="center"/>
                </w:tcPr>
                <w:p>
                  <w:pPr>
                    <w:spacing w:line="300" w:lineRule="exact"/>
                    <w:jc w:val="center"/>
                    <w:rPr>
                      <w:rFonts w:hint="eastAsia" w:ascii="Times New Roman" w:hAnsi="Times New Roman"/>
                      <w:szCs w:val="21"/>
                    </w:rPr>
                  </w:pPr>
                  <w:r>
                    <w:rPr>
                      <w:rFonts w:hint="eastAsia" w:ascii="Times New Roman" w:hAnsi="Times New Roman"/>
                      <w:szCs w:val="21"/>
                    </w:rPr>
                    <w:t>排放口距地面高度应不低于4m。</w:t>
                  </w:r>
                </w:p>
              </w:tc>
              <w:tc>
                <w:tcPr>
                  <w:tcW w:w="668" w:type="pct"/>
                  <w:vAlign w:val="center"/>
                </w:tcPr>
                <w:p>
                  <w:pPr>
                    <w:spacing w:line="300" w:lineRule="exact"/>
                    <w:jc w:val="center"/>
                    <w:rPr>
                      <w:rFonts w:ascii="Times New Roman" w:hAnsi="Times New Roman"/>
                      <w:szCs w:val="21"/>
                    </w:rPr>
                  </w:pPr>
                  <w:r>
                    <w:rPr>
                      <w:rFonts w:hint="eastAsia" w:ascii="Times New Roman" w:hAnsi="Times New Roman"/>
                      <w:szCs w:val="21"/>
                    </w:rPr>
                    <w:t>处理装置的油气排口</w:t>
                  </w:r>
                </w:p>
              </w:tc>
              <w:tc>
                <w:tcPr>
                  <w:tcW w:w="1596" w:type="pct"/>
                  <w:vAlign w:val="center"/>
                </w:tcPr>
                <w:p>
                  <w:pPr>
                    <w:spacing w:line="300" w:lineRule="exact"/>
                    <w:jc w:val="center"/>
                    <w:rPr>
                      <w:rFonts w:ascii="Times New Roman" w:hAnsi="Times New Roman"/>
                      <w:szCs w:val="21"/>
                    </w:rPr>
                  </w:pPr>
                  <w:r>
                    <w:rPr>
                      <w:rFonts w:hint="eastAsia" w:ascii="Times New Roman" w:hAnsi="Times New Roman"/>
                      <w:szCs w:val="21"/>
                    </w:rPr>
                    <w:t>油气排放执行《加油站大气污染物排放标准》(GB20952-2007)：处理装置的油气排放浓度应小于等于25g/m</w:t>
                  </w:r>
                  <w:r>
                    <w:rPr>
                      <w:rFonts w:hint="eastAsia" w:ascii="Times New Roman" w:hAnsi="Times New Roman"/>
                      <w:szCs w:val="21"/>
                      <w:vertAlign w:val="superscript"/>
                    </w:rPr>
                    <w:t>3</w:t>
                  </w:r>
                  <w:r>
                    <w:rPr>
                      <w:rFonts w:ascii="Times New Roman" w:hAnsi="Times New Roman"/>
                      <w:szCs w:val="21"/>
                    </w:rPr>
                    <w:t xml:space="preserve">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404" w:type="pct"/>
                  <w:vMerge w:val="continue"/>
                  <w:vAlign w:val="center"/>
                </w:tcPr>
                <w:p>
                  <w:pPr>
                    <w:spacing w:line="300" w:lineRule="exact"/>
                    <w:jc w:val="center"/>
                    <w:rPr>
                      <w:rFonts w:ascii="Times New Roman" w:hAnsi="Times New Roman"/>
                      <w:szCs w:val="21"/>
                    </w:rPr>
                  </w:pPr>
                </w:p>
              </w:tc>
              <w:tc>
                <w:tcPr>
                  <w:tcW w:w="832" w:type="pct"/>
                  <w:vAlign w:val="center"/>
                </w:tcPr>
                <w:p>
                  <w:pPr>
                    <w:spacing w:line="300" w:lineRule="exact"/>
                    <w:jc w:val="center"/>
                    <w:rPr>
                      <w:rFonts w:ascii="Times New Roman" w:hAnsi="Times New Roman"/>
                      <w:szCs w:val="21"/>
                    </w:rPr>
                  </w:pPr>
                  <w:r>
                    <w:rPr>
                      <w:rFonts w:hint="eastAsia" w:ascii="Times New Roman" w:hAnsi="Times New Roman"/>
                      <w:szCs w:val="21"/>
                    </w:rPr>
                    <w:t>油烟</w:t>
                  </w:r>
                </w:p>
              </w:tc>
              <w:tc>
                <w:tcPr>
                  <w:tcW w:w="1500" w:type="pct"/>
                  <w:vAlign w:val="center"/>
                </w:tcPr>
                <w:p>
                  <w:pPr>
                    <w:spacing w:line="300" w:lineRule="exact"/>
                    <w:jc w:val="center"/>
                    <w:rPr>
                      <w:rFonts w:ascii="Times New Roman" w:hAnsi="Times New Roman"/>
                      <w:szCs w:val="21"/>
                    </w:rPr>
                  </w:pPr>
                  <w:r>
                    <w:rPr>
                      <w:rFonts w:hint="eastAsia" w:ascii="Times New Roman" w:hAnsi="Times New Roman"/>
                      <w:szCs w:val="21"/>
                    </w:rPr>
                    <w:t>60%净化效率的油烟净化器</w:t>
                  </w:r>
                </w:p>
              </w:tc>
              <w:tc>
                <w:tcPr>
                  <w:tcW w:w="668" w:type="pct"/>
                  <w:vAlign w:val="center"/>
                </w:tcPr>
                <w:p>
                  <w:pPr>
                    <w:spacing w:line="300" w:lineRule="exact"/>
                    <w:jc w:val="center"/>
                    <w:rPr>
                      <w:rFonts w:ascii="Times New Roman" w:hAnsi="Times New Roman"/>
                      <w:szCs w:val="21"/>
                    </w:rPr>
                  </w:pPr>
                  <w:r>
                    <w:rPr>
                      <w:rFonts w:hint="eastAsia" w:ascii="Times New Roman" w:hAnsi="Times New Roman"/>
                      <w:szCs w:val="21"/>
                    </w:rPr>
                    <w:t>烟道出口</w:t>
                  </w:r>
                </w:p>
              </w:tc>
              <w:tc>
                <w:tcPr>
                  <w:tcW w:w="1596" w:type="pct"/>
                  <w:vAlign w:val="center"/>
                </w:tcPr>
                <w:p>
                  <w:pPr>
                    <w:spacing w:line="300" w:lineRule="exact"/>
                    <w:jc w:val="center"/>
                    <w:rPr>
                      <w:rFonts w:ascii="Times New Roman" w:hAnsi="Times New Roman"/>
                      <w:szCs w:val="21"/>
                    </w:rPr>
                  </w:pPr>
                  <w:r>
                    <w:rPr>
                      <w:rFonts w:hint="eastAsia" w:ascii="Times New Roman" w:hAnsi="Times New Roman"/>
                      <w:szCs w:val="21"/>
                    </w:rPr>
                    <w:t>《饮食业油烟排放标准（试行）》（GB18483-2001）小型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404" w:type="pct"/>
                  <w:vMerge w:val="restart"/>
                  <w:vAlign w:val="center"/>
                </w:tcPr>
                <w:p>
                  <w:pPr>
                    <w:spacing w:line="300" w:lineRule="exact"/>
                    <w:jc w:val="center"/>
                    <w:rPr>
                      <w:rFonts w:ascii="Times New Roman" w:hAnsi="Times New Roman"/>
                      <w:szCs w:val="21"/>
                    </w:rPr>
                  </w:pPr>
                  <w:r>
                    <w:rPr>
                      <w:rFonts w:ascii="Times New Roman" w:hAnsi="Times New Roman"/>
                      <w:szCs w:val="21"/>
                    </w:rPr>
                    <w:t>水环境</w:t>
                  </w:r>
                </w:p>
              </w:tc>
              <w:tc>
                <w:tcPr>
                  <w:tcW w:w="832" w:type="pct"/>
                  <w:vAlign w:val="center"/>
                </w:tcPr>
                <w:p>
                  <w:pPr>
                    <w:spacing w:line="300" w:lineRule="exact"/>
                    <w:jc w:val="center"/>
                    <w:rPr>
                      <w:rFonts w:ascii="Times New Roman" w:hAnsi="Times New Roman"/>
                      <w:szCs w:val="21"/>
                    </w:rPr>
                  </w:pPr>
                  <w:r>
                    <w:rPr>
                      <w:rFonts w:ascii="Times New Roman" w:hAnsi="Times New Roman"/>
                      <w:szCs w:val="21"/>
                    </w:rPr>
                    <w:t>生活污水</w:t>
                  </w:r>
                </w:p>
              </w:tc>
              <w:tc>
                <w:tcPr>
                  <w:tcW w:w="1500" w:type="pct"/>
                  <w:vAlign w:val="center"/>
                </w:tcPr>
                <w:p>
                  <w:pPr>
                    <w:spacing w:line="300" w:lineRule="exact"/>
                    <w:jc w:val="center"/>
                    <w:rPr>
                      <w:rFonts w:ascii="Times New Roman" w:hAnsi="Times New Roman"/>
                      <w:szCs w:val="21"/>
                    </w:rPr>
                  </w:pPr>
                  <w:r>
                    <w:rPr>
                      <w:rFonts w:hint="eastAsia" w:ascii="Times New Roman" w:hAnsi="Times New Roman"/>
                      <w:szCs w:val="21"/>
                    </w:rPr>
                    <w:t>排至防渗旱厕，定期清掏，外运堆肥</w:t>
                  </w:r>
                </w:p>
              </w:tc>
              <w:tc>
                <w:tcPr>
                  <w:tcW w:w="668" w:type="pct"/>
                  <w:vAlign w:val="center"/>
                </w:tcPr>
                <w:p>
                  <w:pPr>
                    <w:spacing w:line="300" w:lineRule="exact"/>
                    <w:jc w:val="center"/>
                    <w:rPr>
                      <w:rFonts w:ascii="Times New Roman" w:hAnsi="Times New Roman"/>
                      <w:szCs w:val="21"/>
                    </w:rPr>
                  </w:pPr>
                  <w:r>
                    <w:rPr>
                      <w:rFonts w:ascii="Times New Roman" w:hAnsi="Times New Roman"/>
                      <w:szCs w:val="21"/>
                    </w:rPr>
                    <w:t>-</w:t>
                  </w:r>
                </w:p>
              </w:tc>
              <w:tc>
                <w:tcPr>
                  <w:tcW w:w="1596" w:type="pct"/>
                  <w:vAlign w:val="center"/>
                </w:tcPr>
                <w:p>
                  <w:pPr>
                    <w:spacing w:line="300" w:lineRule="exact"/>
                    <w:jc w:val="center"/>
                    <w:rPr>
                      <w:rFonts w:ascii="Times New Roman" w:hAnsi="Times New Roman"/>
                      <w:szCs w:val="21"/>
                    </w:rPr>
                  </w:pPr>
                  <w:r>
                    <w:rPr>
                      <w:rFonts w:hint="eastAsia" w:ascii="Times New Roman" w:hAnsi="Times New Roman"/>
                      <w:szCs w:val="21"/>
                    </w:rPr>
                    <w:t>妥善处理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404" w:type="pct"/>
                  <w:vMerge w:val="continue"/>
                  <w:vAlign w:val="center"/>
                </w:tcPr>
                <w:p>
                  <w:pPr>
                    <w:spacing w:line="300" w:lineRule="exact"/>
                    <w:jc w:val="center"/>
                    <w:rPr>
                      <w:rFonts w:ascii="Times New Roman" w:hAnsi="Times New Roman"/>
                      <w:szCs w:val="21"/>
                    </w:rPr>
                  </w:pPr>
                </w:p>
              </w:tc>
              <w:tc>
                <w:tcPr>
                  <w:tcW w:w="832" w:type="pct"/>
                  <w:vAlign w:val="center"/>
                </w:tcPr>
                <w:p>
                  <w:pPr>
                    <w:spacing w:line="300" w:lineRule="exact"/>
                    <w:jc w:val="center"/>
                    <w:rPr>
                      <w:rFonts w:ascii="Times New Roman" w:hAnsi="Times New Roman"/>
                      <w:szCs w:val="21"/>
                    </w:rPr>
                  </w:pPr>
                  <w:r>
                    <w:rPr>
                      <w:rFonts w:hint="eastAsia" w:ascii="Times New Roman" w:hAnsi="Times New Roman"/>
                      <w:szCs w:val="21"/>
                    </w:rPr>
                    <w:t>地下水</w:t>
                  </w:r>
                </w:p>
              </w:tc>
              <w:tc>
                <w:tcPr>
                  <w:tcW w:w="1500" w:type="pct"/>
                  <w:vAlign w:val="center"/>
                </w:tcPr>
                <w:p>
                  <w:pPr>
                    <w:spacing w:line="300" w:lineRule="exact"/>
                    <w:jc w:val="center"/>
                    <w:rPr>
                      <w:rFonts w:hint="eastAsia" w:ascii="Times New Roman" w:hAnsi="Times New Roman"/>
                      <w:szCs w:val="21"/>
                    </w:rPr>
                  </w:pPr>
                  <w:r>
                    <w:rPr>
                      <w:rFonts w:hint="eastAsia" w:ascii="Times New Roman" w:hAnsi="Times New Roman"/>
                      <w:szCs w:val="21"/>
                    </w:rPr>
                    <w:t>储罐区地下水流向下游建设15m监测井一座</w:t>
                  </w:r>
                </w:p>
              </w:tc>
              <w:tc>
                <w:tcPr>
                  <w:tcW w:w="668" w:type="pct"/>
                  <w:vAlign w:val="center"/>
                </w:tcPr>
                <w:p>
                  <w:pPr>
                    <w:spacing w:line="300" w:lineRule="exact"/>
                    <w:jc w:val="center"/>
                    <w:rPr>
                      <w:rFonts w:ascii="Times New Roman" w:hAnsi="Times New Roman"/>
                      <w:szCs w:val="21"/>
                    </w:rPr>
                  </w:pPr>
                  <w:r>
                    <w:rPr>
                      <w:rFonts w:hint="eastAsia" w:ascii="Times New Roman" w:hAnsi="Times New Roman"/>
                      <w:szCs w:val="21"/>
                    </w:rPr>
                    <w:t>-</w:t>
                  </w:r>
                </w:p>
              </w:tc>
              <w:tc>
                <w:tcPr>
                  <w:tcW w:w="1596" w:type="pct"/>
                  <w:vAlign w:val="center"/>
                </w:tcPr>
                <w:p>
                  <w:pPr>
                    <w:spacing w:line="300" w:lineRule="exact"/>
                    <w:jc w:val="center"/>
                    <w:rPr>
                      <w:rFonts w:hint="eastAsia" w:ascii="Times New Roman" w:hAnsi="Times New Roman"/>
                      <w:szCs w:val="21"/>
                    </w:rPr>
                  </w:pPr>
                  <w:r>
                    <w:rPr>
                      <w:rFonts w:hint="eastAsia" w:ascii="Times New Roman" w:hAnsi="Times New Roman"/>
                      <w:szCs w:val="21"/>
                    </w:rPr>
                    <w:t>_</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404" w:type="pct"/>
                  <w:vAlign w:val="center"/>
                </w:tcPr>
                <w:p>
                  <w:pPr>
                    <w:spacing w:line="300" w:lineRule="exact"/>
                    <w:jc w:val="center"/>
                    <w:rPr>
                      <w:rFonts w:ascii="Times New Roman" w:hAnsi="Times New Roman"/>
                      <w:szCs w:val="21"/>
                    </w:rPr>
                  </w:pPr>
                  <w:r>
                    <w:rPr>
                      <w:rFonts w:ascii="Times New Roman" w:hAnsi="Times New Roman"/>
                      <w:szCs w:val="21"/>
                    </w:rPr>
                    <w:t>声环境</w:t>
                  </w:r>
                </w:p>
              </w:tc>
              <w:tc>
                <w:tcPr>
                  <w:tcW w:w="832" w:type="pct"/>
                  <w:vAlign w:val="center"/>
                </w:tcPr>
                <w:p>
                  <w:pPr>
                    <w:spacing w:line="300" w:lineRule="exact"/>
                    <w:jc w:val="center"/>
                    <w:rPr>
                      <w:rFonts w:ascii="Times New Roman" w:hAnsi="Times New Roman"/>
                      <w:szCs w:val="21"/>
                    </w:rPr>
                  </w:pPr>
                  <w:r>
                    <w:rPr>
                      <w:rFonts w:ascii="Times New Roman" w:hAnsi="Times New Roman"/>
                      <w:szCs w:val="21"/>
                    </w:rPr>
                    <w:t>噪声</w:t>
                  </w:r>
                </w:p>
              </w:tc>
              <w:tc>
                <w:tcPr>
                  <w:tcW w:w="1500" w:type="pct"/>
                  <w:vAlign w:val="center"/>
                </w:tcPr>
                <w:p>
                  <w:pPr>
                    <w:spacing w:line="300" w:lineRule="exact"/>
                    <w:jc w:val="center"/>
                    <w:rPr>
                      <w:rFonts w:ascii="Times New Roman" w:hAnsi="Times New Roman"/>
                      <w:szCs w:val="21"/>
                    </w:rPr>
                  </w:pPr>
                  <w:r>
                    <w:rPr>
                      <w:rFonts w:ascii="Times New Roman" w:hAnsi="Times New Roman"/>
                      <w:szCs w:val="21"/>
                    </w:rPr>
                    <w:t>限速行驶、选取低噪声设备，采取隔声、减振措施</w:t>
                  </w:r>
                </w:p>
              </w:tc>
              <w:tc>
                <w:tcPr>
                  <w:tcW w:w="668" w:type="pct"/>
                  <w:vAlign w:val="center"/>
                </w:tcPr>
                <w:p>
                  <w:pPr>
                    <w:spacing w:line="300" w:lineRule="exact"/>
                    <w:jc w:val="center"/>
                    <w:rPr>
                      <w:rFonts w:ascii="Times New Roman" w:hAnsi="Times New Roman"/>
                      <w:szCs w:val="21"/>
                    </w:rPr>
                  </w:pPr>
                  <w:r>
                    <w:rPr>
                      <w:rFonts w:ascii="Times New Roman" w:hAnsi="Times New Roman"/>
                      <w:szCs w:val="21"/>
                    </w:rPr>
                    <w:t>厂界外1m，连续噪声Leq(A)值</w:t>
                  </w:r>
                </w:p>
              </w:tc>
              <w:tc>
                <w:tcPr>
                  <w:tcW w:w="1596" w:type="pct"/>
                  <w:vAlign w:val="center"/>
                </w:tcPr>
                <w:p>
                  <w:pPr>
                    <w:spacing w:line="300" w:lineRule="exact"/>
                    <w:jc w:val="center"/>
                    <w:rPr>
                      <w:rFonts w:ascii="Times New Roman" w:hAnsi="Times New Roman"/>
                      <w:szCs w:val="21"/>
                    </w:rPr>
                  </w:pPr>
                  <w:r>
                    <w:rPr>
                      <w:rFonts w:hint="eastAsia" w:ascii="Times New Roman" w:hAnsi="Times New Roman"/>
                      <w:szCs w:val="21"/>
                    </w:rPr>
                    <w:t>东侧、南侧、西侧厂界《工业企业厂界环境噪声排放标准》(GB12348-2008) 2类标准；</w:t>
                  </w:r>
                </w:p>
                <w:p>
                  <w:pPr>
                    <w:spacing w:line="300" w:lineRule="exact"/>
                    <w:jc w:val="center"/>
                    <w:rPr>
                      <w:rFonts w:ascii="Times New Roman" w:hAnsi="Times New Roman"/>
                      <w:szCs w:val="21"/>
                    </w:rPr>
                  </w:pPr>
                  <w:r>
                    <w:rPr>
                      <w:rFonts w:hint="eastAsia" w:ascii="Times New Roman" w:hAnsi="Times New Roman"/>
                      <w:szCs w:val="21"/>
                    </w:rPr>
                    <w:t>北侧厂界《工业企业厂界环境噪声排放标准》(GB12348-2008)4类标准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404" w:type="pct"/>
                  <w:vMerge w:val="restart"/>
                  <w:vAlign w:val="center"/>
                </w:tcPr>
                <w:p>
                  <w:pPr>
                    <w:spacing w:line="300" w:lineRule="exact"/>
                    <w:jc w:val="center"/>
                    <w:rPr>
                      <w:rFonts w:ascii="Times New Roman" w:hAnsi="Times New Roman"/>
                      <w:szCs w:val="21"/>
                    </w:rPr>
                  </w:pPr>
                  <w:r>
                    <w:rPr>
                      <w:rFonts w:ascii="Times New Roman" w:hAnsi="Times New Roman"/>
                      <w:szCs w:val="21"/>
                    </w:rPr>
                    <w:t>固体废物</w:t>
                  </w:r>
                </w:p>
              </w:tc>
              <w:tc>
                <w:tcPr>
                  <w:tcW w:w="832" w:type="pct"/>
                  <w:vAlign w:val="center"/>
                </w:tcPr>
                <w:p>
                  <w:pPr>
                    <w:spacing w:line="300" w:lineRule="exact"/>
                    <w:jc w:val="center"/>
                    <w:rPr>
                      <w:rFonts w:ascii="Times New Roman" w:hAnsi="Times New Roman"/>
                      <w:szCs w:val="21"/>
                    </w:rPr>
                  </w:pPr>
                  <w:r>
                    <w:rPr>
                      <w:rFonts w:ascii="Times New Roman" w:hAnsi="Times New Roman"/>
                      <w:szCs w:val="21"/>
                    </w:rPr>
                    <w:t>生活垃圾</w:t>
                  </w:r>
                </w:p>
              </w:tc>
              <w:tc>
                <w:tcPr>
                  <w:tcW w:w="1500" w:type="pct"/>
                  <w:vAlign w:val="center"/>
                </w:tcPr>
                <w:p>
                  <w:pPr>
                    <w:spacing w:line="300" w:lineRule="exact"/>
                    <w:jc w:val="center"/>
                    <w:rPr>
                      <w:rFonts w:ascii="Times New Roman" w:hAnsi="Times New Roman"/>
                      <w:szCs w:val="21"/>
                    </w:rPr>
                  </w:pPr>
                  <w:r>
                    <w:rPr>
                      <w:rFonts w:hint="eastAsia" w:ascii="Times New Roman" w:hAnsi="Times New Roman"/>
                      <w:szCs w:val="21"/>
                    </w:rPr>
                    <w:t>送至环卫部门指定的消纳地点</w:t>
                  </w:r>
                </w:p>
              </w:tc>
              <w:tc>
                <w:tcPr>
                  <w:tcW w:w="668" w:type="pct"/>
                  <w:vMerge w:val="restart"/>
                  <w:vAlign w:val="center"/>
                </w:tcPr>
                <w:p>
                  <w:pPr>
                    <w:spacing w:line="300" w:lineRule="exact"/>
                    <w:jc w:val="center"/>
                    <w:rPr>
                      <w:rFonts w:ascii="Times New Roman" w:hAnsi="Times New Roman"/>
                      <w:szCs w:val="21"/>
                    </w:rPr>
                  </w:pPr>
                  <w:r>
                    <w:rPr>
                      <w:rFonts w:ascii="Times New Roman" w:hAnsi="Times New Roman"/>
                      <w:szCs w:val="21"/>
                    </w:rPr>
                    <w:t>-</w:t>
                  </w:r>
                </w:p>
              </w:tc>
              <w:tc>
                <w:tcPr>
                  <w:tcW w:w="1596" w:type="pct"/>
                  <w:vMerge w:val="restart"/>
                  <w:vAlign w:val="center"/>
                </w:tcPr>
                <w:p>
                  <w:pPr>
                    <w:spacing w:line="300" w:lineRule="exact"/>
                    <w:jc w:val="center"/>
                    <w:rPr>
                      <w:rFonts w:ascii="Times New Roman" w:hAnsi="Times New Roman"/>
                      <w:szCs w:val="21"/>
                    </w:rPr>
                  </w:pPr>
                  <w:r>
                    <w:rPr>
                      <w:rFonts w:ascii="Times New Roman" w:hAnsi="Times New Roman"/>
                      <w:szCs w:val="21"/>
                    </w:rPr>
                    <w:t>处置率100%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4" w:type="pct"/>
                  <w:vMerge w:val="continue"/>
                  <w:vAlign w:val="center"/>
                </w:tcPr>
                <w:p>
                  <w:pPr>
                    <w:spacing w:line="300" w:lineRule="exact"/>
                    <w:jc w:val="center"/>
                    <w:rPr>
                      <w:rFonts w:ascii="Times New Roman" w:hAnsi="Times New Roman"/>
                      <w:szCs w:val="21"/>
                    </w:rPr>
                  </w:pPr>
                </w:p>
              </w:tc>
              <w:tc>
                <w:tcPr>
                  <w:tcW w:w="832" w:type="pct"/>
                  <w:vAlign w:val="center"/>
                </w:tcPr>
                <w:p>
                  <w:pPr>
                    <w:spacing w:line="300" w:lineRule="exact"/>
                    <w:jc w:val="center"/>
                    <w:rPr>
                      <w:rFonts w:ascii="Times New Roman" w:hAnsi="Times New Roman"/>
                      <w:szCs w:val="21"/>
                    </w:rPr>
                  </w:pPr>
                  <w:r>
                    <w:rPr>
                      <w:rFonts w:ascii="Times New Roman" w:hAnsi="Times New Roman"/>
                      <w:szCs w:val="21"/>
                    </w:rPr>
                    <w:t>油泥</w:t>
                  </w:r>
                </w:p>
                <w:p>
                  <w:pPr>
                    <w:spacing w:line="300" w:lineRule="exact"/>
                    <w:jc w:val="center"/>
                    <w:rPr>
                      <w:rFonts w:ascii="Times New Roman" w:hAnsi="Times New Roman"/>
                      <w:szCs w:val="21"/>
                    </w:rPr>
                  </w:pPr>
                  <w:r>
                    <w:rPr>
                      <w:rFonts w:hint="eastAsia" w:ascii="Times New Roman" w:hAnsi="Times New Roman"/>
                      <w:szCs w:val="21"/>
                    </w:rPr>
                    <w:t>（类别：</w:t>
                  </w:r>
                  <w:r>
                    <w:rPr>
                      <w:rFonts w:ascii="Times New Roman" w:hAnsi="Times New Roman"/>
                      <w:szCs w:val="21"/>
                    </w:rPr>
                    <w:t>HW08</w:t>
                  </w:r>
                  <w:r>
                    <w:rPr>
                      <w:rFonts w:hint="eastAsia" w:ascii="Times New Roman" w:hAnsi="Times New Roman"/>
                      <w:szCs w:val="21"/>
                    </w:rPr>
                    <w:t>；代码：900-249-08</w:t>
                  </w:r>
                </w:p>
                <w:p>
                  <w:pPr>
                    <w:spacing w:line="300" w:lineRule="exact"/>
                    <w:jc w:val="center"/>
                    <w:rPr>
                      <w:rFonts w:ascii="Times New Roman" w:hAnsi="Times New Roman"/>
                      <w:szCs w:val="21"/>
                    </w:rPr>
                  </w:pPr>
                  <w:r>
                    <w:rPr>
                      <w:rFonts w:hint="eastAsia" w:ascii="Times New Roman" w:hAnsi="Times New Roman"/>
                      <w:szCs w:val="21"/>
                    </w:rPr>
                    <w:t>）</w:t>
                  </w:r>
                </w:p>
              </w:tc>
              <w:tc>
                <w:tcPr>
                  <w:tcW w:w="1500" w:type="pct"/>
                  <w:vAlign w:val="center"/>
                </w:tcPr>
                <w:p>
                  <w:pPr>
                    <w:spacing w:line="300" w:lineRule="exact"/>
                    <w:jc w:val="center"/>
                    <w:rPr>
                      <w:rFonts w:ascii="Times New Roman" w:hAnsi="Times New Roman"/>
                      <w:szCs w:val="21"/>
                    </w:rPr>
                  </w:pPr>
                  <w:r>
                    <w:rPr>
                      <w:rFonts w:ascii="Times New Roman" w:hAnsi="Times New Roman"/>
                      <w:szCs w:val="21"/>
                    </w:rPr>
                    <w:t>油泥的清除、运输和处置均由具备该资质的专业公司完成，</w:t>
                  </w:r>
                  <w:r>
                    <w:rPr>
                      <w:rFonts w:hint="eastAsia" w:ascii="Times New Roman" w:hAnsi="Times New Roman"/>
                      <w:szCs w:val="21"/>
                    </w:rPr>
                    <w:t>站区内</w:t>
                  </w:r>
                  <w:r>
                    <w:rPr>
                      <w:rFonts w:ascii="Times New Roman" w:hAnsi="Times New Roman"/>
                      <w:szCs w:val="21"/>
                    </w:rPr>
                    <w:t>不暂存</w:t>
                  </w:r>
                </w:p>
              </w:tc>
              <w:tc>
                <w:tcPr>
                  <w:tcW w:w="668" w:type="pct"/>
                  <w:vMerge w:val="continue"/>
                  <w:vAlign w:val="center"/>
                </w:tcPr>
                <w:p>
                  <w:pPr>
                    <w:spacing w:line="300" w:lineRule="exact"/>
                    <w:jc w:val="center"/>
                    <w:rPr>
                      <w:rFonts w:ascii="Times New Roman" w:hAnsi="Times New Roman"/>
                      <w:szCs w:val="21"/>
                    </w:rPr>
                  </w:pPr>
                </w:p>
              </w:tc>
              <w:tc>
                <w:tcPr>
                  <w:tcW w:w="1596" w:type="pct"/>
                  <w:vMerge w:val="continue"/>
                  <w:vAlign w:val="center"/>
                </w:tcPr>
                <w:p>
                  <w:pPr>
                    <w:spacing w:line="300" w:lineRule="exact"/>
                    <w:jc w:val="center"/>
                    <w:rPr>
                      <w:rFonts w:ascii="Times New Roman" w:hAnsi="Times New Roman"/>
                      <w:szCs w:val="21"/>
                    </w:rPr>
                  </w:pPr>
                </w:p>
              </w:tc>
            </w:tr>
          </w:tbl>
          <w:p>
            <w:pPr>
              <w:spacing w:line="360" w:lineRule="auto"/>
              <w:rPr>
                <w:rFonts w:ascii="Times New Roman" w:hAnsi="Times New Roman"/>
                <w:b/>
                <w:sz w:val="28"/>
                <w:szCs w:val="28"/>
              </w:rPr>
            </w:pPr>
            <w:r>
              <w:rPr>
                <w:rFonts w:ascii="Times New Roman" w:hAnsi="Times New Roman"/>
                <w:b/>
                <w:sz w:val="28"/>
                <w:szCs w:val="28"/>
              </w:rPr>
              <w:t>四、环境监测计划</w:t>
            </w:r>
          </w:p>
          <w:p>
            <w:pPr>
              <w:spacing w:line="360" w:lineRule="auto"/>
              <w:ind w:firstLine="560" w:firstLineChars="200"/>
              <w:rPr>
                <w:rFonts w:ascii="Times New Roman" w:hAnsi="Times New Roman"/>
                <w:sz w:val="28"/>
                <w:szCs w:val="28"/>
              </w:rPr>
            </w:pPr>
            <w:r>
              <w:rPr>
                <w:rFonts w:ascii="Times New Roman" w:hAnsi="Times New Roman"/>
                <w:sz w:val="28"/>
                <w:szCs w:val="28"/>
              </w:rPr>
              <w:t>环境监测计划见下表。</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55 </w:t>
            </w:r>
            <w:r>
              <w:rPr>
                <w:rFonts w:ascii="Times New Roman" w:hAnsi="Times New Roman"/>
                <w:b/>
                <w:sz w:val="24"/>
                <w:szCs w:val="24"/>
              </w:rPr>
              <w:t xml:space="preserve">   环境监测计划一览表</w:t>
            </w:r>
          </w:p>
          <w:tbl>
            <w:tblPr>
              <w:tblStyle w:val="26"/>
              <w:tblW w:w="850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85"/>
              <w:gridCol w:w="752"/>
              <w:gridCol w:w="1378"/>
              <w:gridCol w:w="1167"/>
              <w:gridCol w:w="2987"/>
              <w:gridCol w:w="173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Align w:val="center"/>
                </w:tcPr>
                <w:p>
                  <w:pPr>
                    <w:jc w:val="center"/>
                    <w:rPr>
                      <w:rFonts w:ascii="Times New Roman" w:hAnsi="Times New Roman"/>
                      <w:szCs w:val="21"/>
                    </w:rPr>
                  </w:pPr>
                  <w:r>
                    <w:rPr>
                      <w:rFonts w:ascii="Times New Roman" w:hAnsi="Times New Roman"/>
                      <w:szCs w:val="21"/>
                    </w:rPr>
                    <w:t>序号</w:t>
                  </w:r>
                </w:p>
              </w:tc>
              <w:tc>
                <w:tcPr>
                  <w:tcW w:w="752" w:type="dxa"/>
                  <w:vAlign w:val="center"/>
                </w:tcPr>
                <w:p>
                  <w:pPr>
                    <w:jc w:val="center"/>
                    <w:rPr>
                      <w:rFonts w:ascii="Times New Roman" w:hAnsi="Times New Roman"/>
                      <w:szCs w:val="21"/>
                    </w:rPr>
                  </w:pPr>
                  <w:r>
                    <w:rPr>
                      <w:rFonts w:ascii="Times New Roman" w:hAnsi="Times New Roman"/>
                      <w:szCs w:val="21"/>
                    </w:rPr>
                    <w:t>环境要素</w:t>
                  </w:r>
                </w:p>
              </w:tc>
              <w:tc>
                <w:tcPr>
                  <w:tcW w:w="1378" w:type="dxa"/>
                  <w:vAlign w:val="center"/>
                </w:tcPr>
                <w:p>
                  <w:pPr>
                    <w:jc w:val="center"/>
                    <w:rPr>
                      <w:rFonts w:ascii="Times New Roman" w:hAnsi="Times New Roman"/>
                      <w:szCs w:val="21"/>
                    </w:rPr>
                  </w:pPr>
                  <w:r>
                    <w:rPr>
                      <w:rFonts w:ascii="Times New Roman" w:hAnsi="Times New Roman"/>
                      <w:szCs w:val="21"/>
                    </w:rPr>
                    <w:t>监测项目</w:t>
                  </w:r>
                </w:p>
              </w:tc>
              <w:tc>
                <w:tcPr>
                  <w:tcW w:w="1167" w:type="dxa"/>
                  <w:vAlign w:val="center"/>
                </w:tcPr>
                <w:p>
                  <w:pPr>
                    <w:jc w:val="center"/>
                    <w:rPr>
                      <w:rFonts w:ascii="Times New Roman" w:hAnsi="Times New Roman"/>
                      <w:szCs w:val="21"/>
                    </w:rPr>
                  </w:pPr>
                  <w:r>
                    <w:rPr>
                      <w:rFonts w:ascii="Times New Roman" w:hAnsi="Times New Roman"/>
                      <w:szCs w:val="21"/>
                    </w:rPr>
                    <w:t>监测点</w:t>
                  </w:r>
                </w:p>
              </w:tc>
              <w:tc>
                <w:tcPr>
                  <w:tcW w:w="2987" w:type="dxa"/>
                  <w:vAlign w:val="center"/>
                </w:tcPr>
                <w:p>
                  <w:pPr>
                    <w:jc w:val="center"/>
                    <w:rPr>
                      <w:rFonts w:ascii="Times New Roman" w:hAnsi="Times New Roman"/>
                      <w:szCs w:val="21"/>
                    </w:rPr>
                  </w:pPr>
                  <w:r>
                    <w:rPr>
                      <w:rFonts w:ascii="Times New Roman" w:hAnsi="Times New Roman"/>
                      <w:szCs w:val="21"/>
                    </w:rPr>
                    <w:t>监测项目分析方法</w:t>
                  </w:r>
                </w:p>
              </w:tc>
              <w:tc>
                <w:tcPr>
                  <w:tcW w:w="1736" w:type="dxa"/>
                  <w:vAlign w:val="center"/>
                </w:tcPr>
                <w:p>
                  <w:pPr>
                    <w:jc w:val="center"/>
                    <w:rPr>
                      <w:rFonts w:ascii="Times New Roman" w:hAnsi="Times New Roman"/>
                      <w:szCs w:val="21"/>
                    </w:rPr>
                  </w:pPr>
                  <w:r>
                    <w:rPr>
                      <w:rFonts w:ascii="Times New Roman" w:hAnsi="Times New Roman"/>
                      <w:szCs w:val="21"/>
                    </w:rPr>
                    <w:t>监测时间和频率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Merge w:val="restart"/>
                  <w:vAlign w:val="center"/>
                </w:tcPr>
                <w:p>
                  <w:pPr>
                    <w:jc w:val="center"/>
                    <w:rPr>
                      <w:rFonts w:ascii="Times New Roman" w:hAnsi="Times New Roman"/>
                      <w:szCs w:val="21"/>
                    </w:rPr>
                  </w:pPr>
                  <w:r>
                    <w:rPr>
                      <w:rFonts w:ascii="Times New Roman" w:hAnsi="Times New Roman"/>
                      <w:szCs w:val="21"/>
                    </w:rPr>
                    <w:t>1</w:t>
                  </w:r>
                </w:p>
              </w:tc>
              <w:tc>
                <w:tcPr>
                  <w:tcW w:w="752" w:type="dxa"/>
                  <w:vMerge w:val="restart"/>
                  <w:vAlign w:val="center"/>
                </w:tcPr>
                <w:p>
                  <w:pPr>
                    <w:jc w:val="center"/>
                    <w:rPr>
                      <w:rFonts w:ascii="Times New Roman" w:hAnsi="Times New Roman"/>
                      <w:szCs w:val="21"/>
                    </w:rPr>
                  </w:pPr>
                  <w:r>
                    <w:rPr>
                      <w:rFonts w:ascii="Times New Roman" w:hAnsi="Times New Roman"/>
                      <w:szCs w:val="21"/>
                    </w:rPr>
                    <w:t>废气</w:t>
                  </w:r>
                </w:p>
              </w:tc>
              <w:tc>
                <w:tcPr>
                  <w:tcW w:w="1378" w:type="dxa"/>
                  <w:vAlign w:val="center"/>
                </w:tcPr>
                <w:p>
                  <w:pPr>
                    <w:jc w:val="center"/>
                    <w:rPr>
                      <w:rFonts w:ascii="Times New Roman" w:hAnsi="Times New Roman"/>
                      <w:szCs w:val="21"/>
                    </w:rPr>
                  </w:pPr>
                  <w:r>
                    <w:rPr>
                      <w:rFonts w:ascii="Times New Roman" w:hAnsi="Times New Roman"/>
                      <w:szCs w:val="21"/>
                    </w:rPr>
                    <w:t>非甲烷总烃</w:t>
                  </w:r>
                </w:p>
              </w:tc>
              <w:tc>
                <w:tcPr>
                  <w:tcW w:w="1167" w:type="dxa"/>
                  <w:vAlign w:val="center"/>
                </w:tcPr>
                <w:p>
                  <w:pPr>
                    <w:jc w:val="center"/>
                    <w:rPr>
                      <w:rFonts w:ascii="Times New Roman" w:hAnsi="Times New Roman"/>
                      <w:szCs w:val="21"/>
                    </w:rPr>
                  </w:pPr>
                  <w:r>
                    <w:rPr>
                      <w:rFonts w:ascii="Times New Roman" w:hAnsi="Times New Roman"/>
                      <w:szCs w:val="21"/>
                    </w:rPr>
                    <w:t>下风向浓度最高点</w:t>
                  </w:r>
                </w:p>
              </w:tc>
              <w:tc>
                <w:tcPr>
                  <w:tcW w:w="2987" w:type="dxa"/>
                  <w:vAlign w:val="center"/>
                </w:tcPr>
                <w:p>
                  <w:pPr>
                    <w:jc w:val="left"/>
                    <w:rPr>
                      <w:rFonts w:ascii="Times New Roman" w:hAnsi="Times New Roman"/>
                      <w:szCs w:val="21"/>
                    </w:rPr>
                  </w:pPr>
                  <w:r>
                    <w:rPr>
                      <w:rFonts w:ascii="Times New Roman" w:hAnsi="Times New Roman"/>
                      <w:szCs w:val="21"/>
                    </w:rPr>
                    <w:t>气象色谱法HJ/T38-1999</w:t>
                  </w:r>
                </w:p>
              </w:tc>
              <w:tc>
                <w:tcPr>
                  <w:tcW w:w="1736" w:type="dxa"/>
                  <w:vMerge w:val="restart"/>
                  <w:vAlign w:val="center"/>
                </w:tcPr>
                <w:p>
                  <w:pPr>
                    <w:jc w:val="center"/>
                    <w:rPr>
                      <w:rFonts w:ascii="Times New Roman" w:hAnsi="Times New Roman"/>
                      <w:szCs w:val="21"/>
                    </w:rPr>
                  </w:pPr>
                  <w:r>
                    <w:rPr>
                      <w:rFonts w:ascii="Times New Roman" w:hAnsi="Times New Roman"/>
                      <w:szCs w:val="21"/>
                    </w:rPr>
                    <w:t>每</w:t>
                  </w:r>
                  <w:r>
                    <w:rPr>
                      <w:rFonts w:hint="eastAsia" w:ascii="Times New Roman" w:hAnsi="Times New Roman"/>
                      <w:szCs w:val="21"/>
                    </w:rPr>
                    <w:t>年</w:t>
                  </w:r>
                  <w:r>
                    <w:rPr>
                      <w:rFonts w:ascii="Times New Roman" w:hAnsi="Times New Roman"/>
                      <w:szCs w:val="21"/>
                    </w:rPr>
                    <w:t>度监测1次</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Merge w:val="continue"/>
                  <w:vAlign w:val="center"/>
                </w:tcPr>
                <w:p>
                  <w:pPr>
                    <w:jc w:val="center"/>
                    <w:rPr>
                      <w:rFonts w:ascii="Times New Roman" w:hAnsi="Times New Roman"/>
                      <w:szCs w:val="21"/>
                    </w:rPr>
                  </w:pPr>
                </w:p>
              </w:tc>
              <w:tc>
                <w:tcPr>
                  <w:tcW w:w="752" w:type="dxa"/>
                  <w:vMerge w:val="continue"/>
                  <w:vAlign w:val="center"/>
                </w:tcPr>
                <w:p>
                  <w:pPr>
                    <w:jc w:val="center"/>
                    <w:rPr>
                      <w:rFonts w:ascii="Times New Roman" w:hAnsi="Times New Roman"/>
                      <w:szCs w:val="21"/>
                    </w:rPr>
                  </w:pPr>
                </w:p>
              </w:tc>
              <w:tc>
                <w:tcPr>
                  <w:tcW w:w="1378" w:type="dxa"/>
                  <w:vAlign w:val="center"/>
                </w:tcPr>
                <w:p>
                  <w:pPr>
                    <w:jc w:val="center"/>
                    <w:rPr>
                      <w:rFonts w:ascii="Times New Roman" w:hAnsi="Times New Roman"/>
                      <w:szCs w:val="21"/>
                    </w:rPr>
                  </w:pPr>
                  <w:r>
                    <w:rPr>
                      <w:rFonts w:hint="eastAsia" w:ascii="Times New Roman" w:hAnsi="Times New Roman"/>
                      <w:szCs w:val="21"/>
                    </w:rPr>
                    <w:t>食堂油烟</w:t>
                  </w:r>
                </w:p>
              </w:tc>
              <w:tc>
                <w:tcPr>
                  <w:tcW w:w="1167" w:type="dxa"/>
                  <w:vAlign w:val="center"/>
                </w:tcPr>
                <w:p>
                  <w:pPr>
                    <w:jc w:val="center"/>
                    <w:rPr>
                      <w:rFonts w:ascii="Times New Roman" w:hAnsi="Times New Roman"/>
                      <w:szCs w:val="21"/>
                    </w:rPr>
                  </w:pPr>
                  <w:r>
                    <w:rPr>
                      <w:rFonts w:hint="eastAsia" w:ascii="Times New Roman" w:hAnsi="Times New Roman"/>
                      <w:szCs w:val="21"/>
                    </w:rPr>
                    <w:t>烟道出口</w:t>
                  </w:r>
                </w:p>
              </w:tc>
              <w:tc>
                <w:tcPr>
                  <w:tcW w:w="2987" w:type="dxa"/>
                  <w:vAlign w:val="center"/>
                </w:tcPr>
                <w:p>
                  <w:pPr>
                    <w:jc w:val="left"/>
                    <w:rPr>
                      <w:rFonts w:ascii="Times New Roman" w:hAnsi="Times New Roman"/>
                      <w:szCs w:val="21"/>
                    </w:rPr>
                  </w:pPr>
                </w:p>
              </w:tc>
              <w:tc>
                <w:tcPr>
                  <w:tcW w:w="1736" w:type="dxa"/>
                  <w:vMerge w:val="continue"/>
                  <w:vAlign w:val="center"/>
                </w:tcPr>
                <w:p>
                  <w:pPr>
                    <w:jc w:val="center"/>
                    <w:rPr>
                      <w:rFonts w:ascii="Times New Roman" w:hAnsi="Times New Roman"/>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Align w:val="center"/>
                </w:tcPr>
                <w:p>
                  <w:pPr>
                    <w:jc w:val="center"/>
                    <w:rPr>
                      <w:rFonts w:ascii="Times New Roman" w:hAnsi="Times New Roman"/>
                      <w:szCs w:val="21"/>
                    </w:rPr>
                  </w:pPr>
                  <w:r>
                    <w:rPr>
                      <w:rFonts w:ascii="Times New Roman" w:hAnsi="Times New Roman"/>
                      <w:szCs w:val="21"/>
                    </w:rPr>
                    <w:t>2</w:t>
                  </w:r>
                </w:p>
              </w:tc>
              <w:tc>
                <w:tcPr>
                  <w:tcW w:w="752" w:type="dxa"/>
                  <w:vAlign w:val="center"/>
                </w:tcPr>
                <w:p>
                  <w:pPr>
                    <w:jc w:val="center"/>
                    <w:rPr>
                      <w:rFonts w:ascii="Times New Roman" w:hAnsi="Times New Roman"/>
                      <w:szCs w:val="21"/>
                    </w:rPr>
                  </w:pPr>
                  <w:r>
                    <w:rPr>
                      <w:rFonts w:ascii="Times New Roman" w:hAnsi="Times New Roman"/>
                      <w:szCs w:val="21"/>
                    </w:rPr>
                    <w:t>噪声</w:t>
                  </w:r>
                </w:p>
              </w:tc>
              <w:tc>
                <w:tcPr>
                  <w:tcW w:w="1378" w:type="dxa"/>
                  <w:vAlign w:val="center"/>
                </w:tcPr>
                <w:p>
                  <w:pPr>
                    <w:jc w:val="center"/>
                    <w:rPr>
                      <w:rFonts w:ascii="Times New Roman" w:hAnsi="Times New Roman"/>
                      <w:szCs w:val="21"/>
                    </w:rPr>
                  </w:pPr>
                  <w:r>
                    <w:rPr>
                      <w:rFonts w:ascii="Times New Roman" w:hAnsi="Times New Roman"/>
                      <w:szCs w:val="21"/>
                    </w:rPr>
                    <w:t>等效连续A声级</w:t>
                  </w:r>
                </w:p>
              </w:tc>
              <w:tc>
                <w:tcPr>
                  <w:tcW w:w="1167" w:type="dxa"/>
                  <w:vAlign w:val="center"/>
                </w:tcPr>
                <w:p>
                  <w:pPr>
                    <w:jc w:val="center"/>
                    <w:rPr>
                      <w:rFonts w:ascii="Times New Roman" w:hAnsi="Times New Roman"/>
                      <w:szCs w:val="21"/>
                    </w:rPr>
                  </w:pPr>
                  <w:r>
                    <w:rPr>
                      <w:rFonts w:ascii="Times New Roman" w:hAnsi="Times New Roman"/>
                      <w:szCs w:val="21"/>
                    </w:rPr>
                    <w:t>站区厂界外1m四周各一个点</w:t>
                  </w:r>
                </w:p>
              </w:tc>
              <w:tc>
                <w:tcPr>
                  <w:tcW w:w="2987" w:type="dxa"/>
                  <w:vAlign w:val="center"/>
                </w:tcPr>
                <w:p>
                  <w:pPr>
                    <w:jc w:val="left"/>
                    <w:rPr>
                      <w:rFonts w:ascii="Times New Roman" w:hAnsi="Times New Roman"/>
                      <w:szCs w:val="21"/>
                    </w:rPr>
                  </w:pPr>
                  <w:r>
                    <w:rPr>
                      <w:rFonts w:ascii="Times New Roman" w:hAnsi="Times New Roman"/>
                      <w:szCs w:val="21"/>
                    </w:rPr>
                    <w:t>根据《工业企业厂界环境噪声排放标准》（GB12348-2008）的规定进行监测</w:t>
                  </w:r>
                </w:p>
              </w:tc>
              <w:tc>
                <w:tcPr>
                  <w:tcW w:w="1736" w:type="dxa"/>
                  <w:vAlign w:val="center"/>
                </w:tcPr>
                <w:p>
                  <w:pPr>
                    <w:jc w:val="center"/>
                    <w:rPr>
                      <w:rFonts w:ascii="Times New Roman" w:hAnsi="Times New Roman"/>
                      <w:szCs w:val="21"/>
                    </w:rPr>
                  </w:pPr>
                  <w:r>
                    <w:rPr>
                      <w:rFonts w:ascii="Times New Roman" w:hAnsi="Times New Roman"/>
                      <w:szCs w:val="21"/>
                    </w:rPr>
                    <w:t>每季度监测1次，一次连续监测2天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Merge w:val="restart"/>
                  <w:vAlign w:val="center"/>
                </w:tcPr>
                <w:p>
                  <w:pPr>
                    <w:jc w:val="center"/>
                    <w:rPr>
                      <w:rFonts w:ascii="Times New Roman" w:hAnsi="Times New Roman"/>
                      <w:szCs w:val="21"/>
                    </w:rPr>
                  </w:pPr>
                  <w:r>
                    <w:rPr>
                      <w:rFonts w:ascii="Times New Roman" w:hAnsi="Times New Roman"/>
                      <w:szCs w:val="21"/>
                    </w:rPr>
                    <w:t>3</w:t>
                  </w:r>
                </w:p>
              </w:tc>
              <w:tc>
                <w:tcPr>
                  <w:tcW w:w="752" w:type="dxa"/>
                  <w:vMerge w:val="restart"/>
                  <w:vAlign w:val="center"/>
                </w:tcPr>
                <w:p>
                  <w:pPr>
                    <w:jc w:val="center"/>
                    <w:rPr>
                      <w:rFonts w:ascii="Times New Roman" w:hAnsi="Times New Roman"/>
                      <w:szCs w:val="21"/>
                    </w:rPr>
                  </w:pPr>
                  <w:r>
                    <w:rPr>
                      <w:rFonts w:ascii="Times New Roman" w:hAnsi="Times New Roman"/>
                      <w:szCs w:val="21"/>
                    </w:rPr>
                    <w:t>地下水</w:t>
                  </w:r>
                </w:p>
              </w:tc>
              <w:tc>
                <w:tcPr>
                  <w:tcW w:w="1378" w:type="dxa"/>
                  <w:vAlign w:val="center"/>
                </w:tcPr>
                <w:p>
                  <w:pPr>
                    <w:jc w:val="center"/>
                    <w:rPr>
                      <w:rFonts w:ascii="Times New Roman" w:hAnsi="Times New Roman"/>
                      <w:szCs w:val="21"/>
                    </w:rPr>
                  </w:pPr>
                  <w:r>
                    <w:rPr>
                      <w:rFonts w:ascii="Times New Roman" w:hAnsi="Times New Roman"/>
                      <w:szCs w:val="21"/>
                    </w:rPr>
                    <w:t>氨氮</w:t>
                  </w:r>
                </w:p>
              </w:tc>
              <w:tc>
                <w:tcPr>
                  <w:tcW w:w="1167" w:type="dxa"/>
                  <w:vMerge w:val="restart"/>
                  <w:vAlign w:val="center"/>
                </w:tcPr>
                <w:p>
                  <w:pPr>
                    <w:jc w:val="center"/>
                    <w:rPr>
                      <w:rFonts w:ascii="Times New Roman" w:hAnsi="Times New Roman"/>
                      <w:szCs w:val="21"/>
                    </w:rPr>
                  </w:pPr>
                  <w:r>
                    <w:rPr>
                      <w:rFonts w:ascii="Times New Roman" w:hAnsi="Times New Roman"/>
                      <w:szCs w:val="21"/>
                    </w:rPr>
                    <w:t>厂区内的跟踪监测</w:t>
                  </w:r>
                </w:p>
                <w:p>
                  <w:pPr>
                    <w:jc w:val="center"/>
                    <w:rPr>
                      <w:rFonts w:ascii="Times New Roman" w:hAnsi="Times New Roman"/>
                      <w:szCs w:val="21"/>
                    </w:rPr>
                  </w:pPr>
                  <w:r>
                    <w:rPr>
                      <w:rFonts w:ascii="Times New Roman" w:hAnsi="Times New Roman"/>
                      <w:szCs w:val="21"/>
                    </w:rPr>
                    <w:t>井</w:t>
                  </w:r>
                </w:p>
              </w:tc>
              <w:tc>
                <w:tcPr>
                  <w:tcW w:w="2987" w:type="dxa"/>
                  <w:vAlign w:val="center"/>
                </w:tcPr>
                <w:p>
                  <w:pPr>
                    <w:jc w:val="left"/>
                    <w:rPr>
                      <w:rFonts w:ascii="Times New Roman" w:hAnsi="Times New Roman"/>
                      <w:szCs w:val="21"/>
                    </w:rPr>
                  </w:pPr>
                  <w:r>
                    <w:rPr>
                      <w:rFonts w:ascii="Times New Roman" w:hAnsi="Times New Roman"/>
                      <w:szCs w:val="21"/>
                    </w:rPr>
                    <w:t>纳氏试剂分光光度法</w:t>
                  </w:r>
                </w:p>
              </w:tc>
              <w:tc>
                <w:tcPr>
                  <w:tcW w:w="1736" w:type="dxa"/>
                  <w:vMerge w:val="restart"/>
                  <w:vAlign w:val="center"/>
                </w:tcPr>
                <w:p>
                  <w:pPr>
                    <w:jc w:val="center"/>
                    <w:rPr>
                      <w:rFonts w:ascii="Times New Roman" w:hAnsi="Times New Roman"/>
                      <w:szCs w:val="21"/>
                    </w:rPr>
                  </w:pPr>
                  <w:r>
                    <w:rPr>
                      <w:rFonts w:ascii="Times New Roman" w:hAnsi="Times New Roman"/>
                      <w:szCs w:val="21"/>
                    </w:rPr>
                    <w:t>每季度监测1次，一次连续监测1天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Merge w:val="continue"/>
                  <w:vAlign w:val="center"/>
                </w:tcPr>
                <w:p>
                  <w:pPr>
                    <w:jc w:val="center"/>
                    <w:rPr>
                      <w:rFonts w:ascii="Times New Roman" w:hAnsi="Times New Roman"/>
                      <w:szCs w:val="21"/>
                    </w:rPr>
                  </w:pPr>
                </w:p>
              </w:tc>
              <w:tc>
                <w:tcPr>
                  <w:tcW w:w="752" w:type="dxa"/>
                  <w:vMerge w:val="continue"/>
                  <w:vAlign w:val="center"/>
                </w:tcPr>
                <w:p>
                  <w:pPr>
                    <w:jc w:val="center"/>
                    <w:rPr>
                      <w:rFonts w:ascii="Times New Roman" w:hAnsi="Times New Roman"/>
                      <w:szCs w:val="21"/>
                    </w:rPr>
                  </w:pPr>
                </w:p>
              </w:tc>
              <w:tc>
                <w:tcPr>
                  <w:tcW w:w="1378" w:type="dxa"/>
                  <w:vAlign w:val="center"/>
                </w:tcPr>
                <w:p>
                  <w:pPr>
                    <w:jc w:val="center"/>
                    <w:rPr>
                      <w:rFonts w:ascii="Times New Roman" w:hAnsi="Times New Roman"/>
                      <w:szCs w:val="21"/>
                    </w:rPr>
                  </w:pPr>
                  <w:r>
                    <w:rPr>
                      <w:rFonts w:ascii="Times New Roman" w:hAnsi="Times New Roman"/>
                      <w:szCs w:val="21"/>
                    </w:rPr>
                    <w:t>石油类</w:t>
                  </w:r>
                </w:p>
              </w:tc>
              <w:tc>
                <w:tcPr>
                  <w:tcW w:w="1167" w:type="dxa"/>
                  <w:vMerge w:val="continue"/>
                  <w:vAlign w:val="center"/>
                </w:tcPr>
                <w:p>
                  <w:pPr>
                    <w:jc w:val="center"/>
                    <w:rPr>
                      <w:rFonts w:ascii="Times New Roman" w:hAnsi="Times New Roman"/>
                      <w:szCs w:val="21"/>
                    </w:rPr>
                  </w:pPr>
                </w:p>
              </w:tc>
              <w:tc>
                <w:tcPr>
                  <w:tcW w:w="2987" w:type="dxa"/>
                  <w:vAlign w:val="center"/>
                </w:tcPr>
                <w:p>
                  <w:pPr>
                    <w:jc w:val="left"/>
                    <w:rPr>
                      <w:rFonts w:ascii="Times New Roman" w:hAnsi="Times New Roman"/>
                      <w:szCs w:val="21"/>
                    </w:rPr>
                  </w:pPr>
                  <w:r>
                    <w:rPr>
                      <w:rFonts w:ascii="Times New Roman" w:hAnsi="Times New Roman"/>
                      <w:szCs w:val="21"/>
                    </w:rPr>
                    <w:t>红外分光光度法 HJ 637-2012</w:t>
                  </w:r>
                </w:p>
              </w:tc>
              <w:tc>
                <w:tcPr>
                  <w:tcW w:w="1736" w:type="dxa"/>
                  <w:vMerge w:val="continue"/>
                  <w:vAlign w:val="center"/>
                </w:tcPr>
                <w:p>
                  <w:pPr>
                    <w:rPr>
                      <w:rFonts w:ascii="Times New Roman" w:hAnsi="Times New Roman"/>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Merge w:val="continue"/>
                  <w:vAlign w:val="center"/>
                </w:tcPr>
                <w:p>
                  <w:pPr>
                    <w:jc w:val="center"/>
                    <w:rPr>
                      <w:rFonts w:ascii="Times New Roman" w:hAnsi="Times New Roman"/>
                      <w:szCs w:val="21"/>
                    </w:rPr>
                  </w:pPr>
                </w:p>
              </w:tc>
              <w:tc>
                <w:tcPr>
                  <w:tcW w:w="752" w:type="dxa"/>
                  <w:vMerge w:val="continue"/>
                  <w:vAlign w:val="center"/>
                </w:tcPr>
                <w:p>
                  <w:pPr>
                    <w:jc w:val="center"/>
                    <w:rPr>
                      <w:rFonts w:ascii="Times New Roman" w:hAnsi="Times New Roman"/>
                      <w:szCs w:val="21"/>
                    </w:rPr>
                  </w:pPr>
                </w:p>
              </w:tc>
              <w:tc>
                <w:tcPr>
                  <w:tcW w:w="1378" w:type="dxa"/>
                  <w:vAlign w:val="center"/>
                </w:tcPr>
                <w:p>
                  <w:pPr>
                    <w:jc w:val="center"/>
                    <w:rPr>
                      <w:rFonts w:ascii="Times New Roman" w:hAnsi="Times New Roman"/>
                      <w:szCs w:val="21"/>
                    </w:rPr>
                  </w:pPr>
                  <w:r>
                    <w:rPr>
                      <w:rFonts w:ascii="Times New Roman" w:hAnsi="Times New Roman"/>
                      <w:szCs w:val="21"/>
                    </w:rPr>
                    <w:t>苯、甲苯、乙苯、邻二甲苯、间（对）二甲苯</w:t>
                  </w:r>
                </w:p>
              </w:tc>
              <w:tc>
                <w:tcPr>
                  <w:tcW w:w="1167" w:type="dxa"/>
                  <w:vMerge w:val="continue"/>
                  <w:vAlign w:val="center"/>
                </w:tcPr>
                <w:p>
                  <w:pPr>
                    <w:jc w:val="center"/>
                    <w:rPr>
                      <w:rFonts w:ascii="Times New Roman" w:hAnsi="Times New Roman"/>
                      <w:szCs w:val="21"/>
                    </w:rPr>
                  </w:pPr>
                </w:p>
              </w:tc>
              <w:tc>
                <w:tcPr>
                  <w:tcW w:w="2987" w:type="dxa"/>
                  <w:vAlign w:val="center"/>
                </w:tcPr>
                <w:p>
                  <w:pPr>
                    <w:jc w:val="left"/>
                    <w:rPr>
                      <w:rFonts w:ascii="Times New Roman" w:hAnsi="Times New Roman"/>
                      <w:szCs w:val="21"/>
                    </w:rPr>
                  </w:pPr>
                  <w:r>
                    <w:rPr>
                      <w:rFonts w:ascii="Times New Roman" w:hAnsi="Times New Roman"/>
                      <w:szCs w:val="21"/>
                    </w:rPr>
                    <w:t>1、气相色谱法</w:t>
                  </w:r>
                </w:p>
                <w:p>
                  <w:pPr>
                    <w:jc w:val="left"/>
                    <w:rPr>
                      <w:rFonts w:ascii="Times New Roman" w:hAnsi="Times New Roman"/>
                      <w:szCs w:val="21"/>
                    </w:rPr>
                  </w:pPr>
                  <w:r>
                    <w:rPr>
                      <w:rFonts w:ascii="Times New Roman" w:hAnsi="Times New Roman"/>
                      <w:szCs w:val="21"/>
                    </w:rPr>
                    <w:t>2、吹脱捕集气相色谱法</w:t>
                  </w:r>
                </w:p>
                <w:p>
                  <w:pPr>
                    <w:jc w:val="left"/>
                    <w:rPr>
                      <w:rFonts w:ascii="Times New Roman" w:hAnsi="Times New Roman"/>
                      <w:szCs w:val="21"/>
                    </w:rPr>
                  </w:pPr>
                  <w:r>
                    <w:rPr>
                      <w:rFonts w:ascii="Times New Roman" w:hAnsi="Times New Roman"/>
                      <w:szCs w:val="21"/>
                    </w:rPr>
                    <w:t>3、GC/MS法</w:t>
                  </w:r>
                </w:p>
              </w:tc>
              <w:tc>
                <w:tcPr>
                  <w:tcW w:w="1736" w:type="dxa"/>
                  <w:vMerge w:val="continue"/>
                  <w:vAlign w:val="center"/>
                </w:tcPr>
                <w:p>
                  <w:pPr>
                    <w:rPr>
                      <w:rFonts w:ascii="Times New Roman" w:hAnsi="Times New Roman"/>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Merge w:val="continue"/>
                  <w:vAlign w:val="center"/>
                </w:tcPr>
                <w:p>
                  <w:pPr>
                    <w:jc w:val="center"/>
                    <w:rPr>
                      <w:rFonts w:ascii="Times New Roman" w:hAnsi="Times New Roman"/>
                      <w:szCs w:val="21"/>
                    </w:rPr>
                  </w:pPr>
                </w:p>
              </w:tc>
              <w:tc>
                <w:tcPr>
                  <w:tcW w:w="752" w:type="dxa"/>
                  <w:vMerge w:val="continue"/>
                  <w:vAlign w:val="center"/>
                </w:tcPr>
                <w:p>
                  <w:pPr>
                    <w:jc w:val="center"/>
                    <w:rPr>
                      <w:rFonts w:ascii="Times New Roman" w:hAnsi="Times New Roman"/>
                      <w:szCs w:val="21"/>
                    </w:rPr>
                  </w:pPr>
                </w:p>
              </w:tc>
              <w:tc>
                <w:tcPr>
                  <w:tcW w:w="1378" w:type="dxa"/>
                  <w:vAlign w:val="center"/>
                </w:tcPr>
                <w:p>
                  <w:pPr>
                    <w:jc w:val="center"/>
                    <w:rPr>
                      <w:rFonts w:ascii="Times New Roman" w:hAnsi="Times New Roman"/>
                      <w:szCs w:val="21"/>
                    </w:rPr>
                  </w:pPr>
                  <w:r>
                    <w:rPr>
                      <w:rFonts w:ascii="Times New Roman" w:hAnsi="Times New Roman"/>
                      <w:szCs w:val="21"/>
                    </w:rPr>
                    <w:t>甲基叔丁基醚</w:t>
                  </w:r>
                </w:p>
              </w:tc>
              <w:tc>
                <w:tcPr>
                  <w:tcW w:w="1167" w:type="dxa"/>
                  <w:vMerge w:val="continue"/>
                  <w:vAlign w:val="center"/>
                </w:tcPr>
                <w:p>
                  <w:pPr>
                    <w:jc w:val="center"/>
                    <w:rPr>
                      <w:rFonts w:ascii="Times New Roman" w:hAnsi="Times New Roman"/>
                      <w:szCs w:val="21"/>
                    </w:rPr>
                  </w:pPr>
                </w:p>
              </w:tc>
              <w:tc>
                <w:tcPr>
                  <w:tcW w:w="2987" w:type="dxa"/>
                  <w:vAlign w:val="center"/>
                </w:tcPr>
                <w:p>
                  <w:pPr>
                    <w:jc w:val="left"/>
                    <w:rPr>
                      <w:rFonts w:ascii="Times New Roman" w:hAnsi="Times New Roman"/>
                      <w:szCs w:val="21"/>
                    </w:rPr>
                  </w:pPr>
                  <w:r>
                    <w:rPr>
                      <w:rFonts w:ascii="Times New Roman" w:hAnsi="Times New Roman"/>
                      <w:szCs w:val="21"/>
                    </w:rPr>
                    <w:t>静态顶空气相色谱测定方法</w:t>
                  </w:r>
                </w:p>
              </w:tc>
              <w:tc>
                <w:tcPr>
                  <w:tcW w:w="1736" w:type="dxa"/>
                  <w:vMerge w:val="continue"/>
                  <w:vAlign w:val="center"/>
                </w:tcPr>
                <w:p>
                  <w:pPr>
                    <w:rPr>
                      <w:rFonts w:ascii="Times New Roman" w:hAnsi="Times New Roman"/>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5" w:type="dxa"/>
                  <w:vMerge w:val="continue"/>
                  <w:vAlign w:val="center"/>
                </w:tcPr>
                <w:p>
                  <w:pPr>
                    <w:jc w:val="center"/>
                    <w:rPr>
                      <w:rFonts w:ascii="Times New Roman" w:hAnsi="Times New Roman"/>
                      <w:szCs w:val="21"/>
                    </w:rPr>
                  </w:pPr>
                </w:p>
              </w:tc>
              <w:tc>
                <w:tcPr>
                  <w:tcW w:w="752" w:type="dxa"/>
                  <w:vMerge w:val="continue"/>
                  <w:vAlign w:val="center"/>
                </w:tcPr>
                <w:p>
                  <w:pPr>
                    <w:jc w:val="center"/>
                    <w:rPr>
                      <w:rFonts w:ascii="Times New Roman" w:hAnsi="Times New Roman"/>
                      <w:szCs w:val="21"/>
                    </w:rPr>
                  </w:pPr>
                </w:p>
              </w:tc>
              <w:tc>
                <w:tcPr>
                  <w:tcW w:w="1378" w:type="dxa"/>
                  <w:vAlign w:val="center"/>
                </w:tcPr>
                <w:p>
                  <w:pPr>
                    <w:jc w:val="center"/>
                    <w:rPr>
                      <w:rFonts w:ascii="Times New Roman" w:hAnsi="Times New Roman"/>
                      <w:szCs w:val="21"/>
                    </w:rPr>
                  </w:pPr>
                  <w:r>
                    <w:rPr>
                      <w:rFonts w:ascii="Times New Roman" w:hAnsi="Times New Roman"/>
                      <w:szCs w:val="21"/>
                    </w:rPr>
                    <w:t>铅、二氯乙烷</w:t>
                  </w:r>
                </w:p>
              </w:tc>
              <w:tc>
                <w:tcPr>
                  <w:tcW w:w="1167" w:type="dxa"/>
                  <w:vMerge w:val="continue"/>
                  <w:vAlign w:val="center"/>
                </w:tcPr>
                <w:p>
                  <w:pPr>
                    <w:jc w:val="center"/>
                    <w:rPr>
                      <w:rFonts w:ascii="Times New Roman" w:hAnsi="Times New Roman"/>
                      <w:szCs w:val="21"/>
                    </w:rPr>
                  </w:pPr>
                </w:p>
              </w:tc>
              <w:tc>
                <w:tcPr>
                  <w:tcW w:w="2987" w:type="dxa"/>
                  <w:vAlign w:val="center"/>
                </w:tcPr>
                <w:p>
                  <w:pPr>
                    <w:jc w:val="left"/>
                    <w:rPr>
                      <w:rFonts w:ascii="Times New Roman" w:hAnsi="Times New Roman"/>
                      <w:szCs w:val="21"/>
                    </w:rPr>
                  </w:pPr>
                  <w:r>
                    <w:rPr>
                      <w:rFonts w:ascii="Times New Roman" w:hAnsi="Times New Roman"/>
                      <w:szCs w:val="21"/>
                    </w:rPr>
                    <w:t>铅：EDTA滴定法</w:t>
                  </w:r>
                </w:p>
                <w:p>
                  <w:pPr>
                    <w:jc w:val="left"/>
                    <w:rPr>
                      <w:rFonts w:ascii="Times New Roman" w:hAnsi="Times New Roman"/>
                      <w:szCs w:val="21"/>
                    </w:rPr>
                  </w:pPr>
                  <w:r>
                    <w:rPr>
                      <w:rFonts w:ascii="Times New Roman" w:hAnsi="Times New Roman"/>
                      <w:szCs w:val="21"/>
                    </w:rPr>
                    <w:t>二氯乙烷：静态顶空气相色谱测定方法</w:t>
                  </w:r>
                </w:p>
              </w:tc>
              <w:tc>
                <w:tcPr>
                  <w:tcW w:w="1736" w:type="dxa"/>
                  <w:vMerge w:val="continue"/>
                  <w:vAlign w:val="center"/>
                </w:tcPr>
                <w:p>
                  <w:pPr>
                    <w:rPr>
                      <w:rFonts w:ascii="Times New Roman" w:hAnsi="Times New Roman"/>
                      <w:szCs w:val="21"/>
                    </w:rPr>
                  </w:pPr>
                </w:p>
              </w:tc>
            </w:tr>
          </w:tbl>
          <w:p>
            <w:pPr>
              <w:spacing w:line="360" w:lineRule="auto"/>
              <w:rPr>
                <w:rFonts w:ascii="Times New Roman" w:hAnsi="Times New Roman"/>
                <w:b/>
                <w:sz w:val="28"/>
                <w:szCs w:val="28"/>
              </w:rPr>
            </w:pPr>
            <w:r>
              <w:rPr>
                <w:rFonts w:ascii="Times New Roman" w:hAnsi="Times New Roman"/>
                <w:b/>
                <w:sz w:val="28"/>
                <w:szCs w:val="28"/>
              </w:rPr>
              <w:t>五、环保投资</w:t>
            </w:r>
          </w:p>
          <w:p>
            <w:pPr>
              <w:spacing w:line="360" w:lineRule="auto"/>
              <w:ind w:firstLine="560" w:firstLineChars="200"/>
              <w:rPr>
                <w:rFonts w:ascii="Times New Roman" w:hAnsi="Times New Roman"/>
                <w:sz w:val="28"/>
                <w:szCs w:val="28"/>
              </w:rPr>
            </w:pPr>
            <w:r>
              <w:rPr>
                <w:rFonts w:ascii="Times New Roman" w:hAnsi="Times New Roman"/>
                <w:sz w:val="28"/>
                <w:szCs w:val="28"/>
              </w:rPr>
              <w:t>项目的环保投资见下表。</w:t>
            </w:r>
          </w:p>
          <w:p>
            <w:pPr>
              <w:spacing w:line="360" w:lineRule="auto"/>
              <w:jc w:val="center"/>
              <w:rPr>
                <w:rFonts w:ascii="Times New Roman" w:hAnsi="Times New Roman"/>
                <w:b/>
                <w:sz w:val="24"/>
                <w:szCs w:val="24"/>
              </w:rPr>
            </w:pPr>
            <w:r>
              <w:rPr>
                <w:rFonts w:ascii="Times New Roman" w:hAnsi="Times New Roman"/>
                <w:b/>
                <w:sz w:val="24"/>
                <w:szCs w:val="24"/>
              </w:rPr>
              <w:t>表</w:t>
            </w:r>
            <w:r>
              <w:rPr>
                <w:rFonts w:hint="eastAsia" w:ascii="Times New Roman" w:hAnsi="Times New Roman"/>
                <w:b/>
                <w:sz w:val="24"/>
                <w:szCs w:val="24"/>
              </w:rPr>
              <w:t xml:space="preserve">56 </w:t>
            </w:r>
            <w:r>
              <w:rPr>
                <w:rFonts w:ascii="Times New Roman" w:hAnsi="Times New Roman"/>
                <w:b/>
                <w:sz w:val="24"/>
                <w:szCs w:val="24"/>
              </w:rPr>
              <w:t xml:space="preserve">   环保投资一览表</w:t>
            </w:r>
          </w:p>
          <w:tbl>
            <w:tblPr>
              <w:tblStyle w:val="26"/>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1441"/>
              <w:gridCol w:w="3959"/>
              <w:gridCol w:w="1565"/>
              <w:gridCol w:w="156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4"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序号</w:t>
                  </w:r>
                </w:p>
              </w:tc>
              <w:tc>
                <w:tcPr>
                  <w:tcW w:w="79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治理项目</w:t>
                  </w: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采取措施</w:t>
                  </w:r>
                </w:p>
              </w:tc>
              <w:tc>
                <w:tcPr>
                  <w:tcW w:w="858" w:type="pct"/>
                  <w:vAlign w:val="center"/>
                </w:tcPr>
                <w:p>
                  <w:pPr>
                    <w:spacing w:line="300" w:lineRule="auto"/>
                    <w:jc w:val="center"/>
                    <w:rPr>
                      <w:rFonts w:ascii="Times New Roman" w:hAnsi="Times New Roman" w:eastAsiaTheme="minorEastAsia"/>
                    </w:rPr>
                  </w:pPr>
                  <w:r>
                    <w:rPr>
                      <w:rFonts w:ascii="Times New Roman" w:hAnsi="Times New Roman" w:eastAsiaTheme="minorEastAsia"/>
                    </w:rPr>
                    <w:t>投资</w:t>
                  </w:r>
                </w:p>
                <w:p>
                  <w:pPr>
                    <w:spacing w:line="300" w:lineRule="auto"/>
                    <w:jc w:val="center"/>
                    <w:rPr>
                      <w:rFonts w:ascii="Times New Roman" w:hAnsi="Times New Roman" w:eastAsiaTheme="minorEastAsia"/>
                    </w:rPr>
                  </w:pPr>
                  <w:r>
                    <w:rPr>
                      <w:rFonts w:hint="eastAsia" w:ascii="Times New Roman" w:hAnsi="Times New Roman" w:eastAsiaTheme="minorEastAsia"/>
                    </w:rPr>
                    <w:t>（万元）</w:t>
                  </w:r>
                </w:p>
              </w:tc>
              <w:tc>
                <w:tcPr>
                  <w:tcW w:w="858" w:type="pct"/>
                  <w:vAlign w:val="center"/>
                </w:tcPr>
                <w:p>
                  <w:pPr>
                    <w:spacing w:line="300" w:lineRule="auto"/>
                    <w:jc w:val="center"/>
                    <w:rPr>
                      <w:rFonts w:ascii="Times New Roman" w:hAnsi="Times New Roman" w:eastAsiaTheme="minorEastAsia"/>
                    </w:rPr>
                  </w:pPr>
                  <w:r>
                    <w:rPr>
                      <w:rFonts w:hint="eastAsia" w:ascii="Times New Roman" w:hAnsi="Times New Roman" w:eastAsiaTheme="minorEastAsia"/>
                    </w:rPr>
                    <w:t>运营费用</w:t>
                  </w:r>
                </w:p>
                <w:p>
                  <w:pPr>
                    <w:spacing w:line="300" w:lineRule="auto"/>
                    <w:jc w:val="center"/>
                    <w:rPr>
                      <w:rFonts w:ascii="Times New Roman" w:hAnsi="Times New Roman" w:eastAsiaTheme="minorEastAsia"/>
                    </w:rPr>
                  </w:pPr>
                  <w:r>
                    <w:rPr>
                      <w:rFonts w:hint="eastAsia" w:ascii="Times New Roman" w:hAnsi="Times New Roman" w:eastAsiaTheme="minorEastAsia"/>
                    </w:rPr>
                    <w:t>（万元）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1</w:t>
                  </w:r>
                </w:p>
              </w:tc>
              <w:tc>
                <w:tcPr>
                  <w:tcW w:w="79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施工期扬尘</w:t>
                  </w: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施工现场设施围挡</w:t>
                  </w:r>
                </w:p>
              </w:tc>
              <w:tc>
                <w:tcPr>
                  <w:tcW w:w="85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1.5</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2</w:t>
                  </w:r>
                </w:p>
              </w:tc>
              <w:tc>
                <w:tcPr>
                  <w:tcW w:w="79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施工期废水</w:t>
                  </w: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建设临时沉淀池，施工废水经沉淀后用于场内洒水降尘</w:t>
                  </w:r>
                </w:p>
              </w:tc>
              <w:tc>
                <w:tcPr>
                  <w:tcW w:w="85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1</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3</w:t>
                  </w:r>
                </w:p>
              </w:tc>
              <w:tc>
                <w:tcPr>
                  <w:tcW w:w="79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油气回收</w:t>
                  </w: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汽油加油油气回收系统、</w:t>
                  </w:r>
                  <w:r>
                    <w:rPr>
                      <w:rFonts w:hint="eastAsia" w:ascii="Times New Roman" w:hAnsi="Times New Roman" w:eastAsiaTheme="minorEastAsia"/>
                      <w:szCs w:val="21"/>
                    </w:rPr>
                    <w:t>汽油</w:t>
                  </w:r>
                  <w:r>
                    <w:rPr>
                      <w:rFonts w:ascii="Times New Roman" w:hAnsi="Times New Roman" w:eastAsiaTheme="minorEastAsia"/>
                      <w:szCs w:val="21"/>
                    </w:rPr>
                    <w:t>卸油油气回收系统</w:t>
                  </w:r>
                </w:p>
              </w:tc>
              <w:tc>
                <w:tcPr>
                  <w:tcW w:w="85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13.0</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4</w:t>
                  </w:r>
                </w:p>
              </w:tc>
              <w:tc>
                <w:tcPr>
                  <w:tcW w:w="790"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油烟</w:t>
                  </w:r>
                </w:p>
              </w:tc>
              <w:tc>
                <w:tcPr>
                  <w:tcW w:w="2170"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60%净化效率的油烟净化器</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0.5</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Merge w:val="restar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5</w:t>
                  </w:r>
                </w:p>
              </w:tc>
              <w:tc>
                <w:tcPr>
                  <w:tcW w:w="790" w:type="pct"/>
                  <w:vMerge w:val="restar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油品泄漏</w:t>
                  </w: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漏油在线监测系统</w:t>
                  </w:r>
                </w:p>
              </w:tc>
              <w:tc>
                <w:tcPr>
                  <w:tcW w:w="85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2.0</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Merge w:val="continue"/>
                  <w:vAlign w:val="center"/>
                </w:tcPr>
                <w:p>
                  <w:pPr>
                    <w:spacing w:line="300" w:lineRule="auto"/>
                    <w:jc w:val="center"/>
                    <w:rPr>
                      <w:rFonts w:ascii="Times New Roman" w:hAnsi="Times New Roman" w:eastAsiaTheme="minorEastAsia"/>
                      <w:szCs w:val="21"/>
                    </w:rPr>
                  </w:pPr>
                </w:p>
              </w:tc>
              <w:tc>
                <w:tcPr>
                  <w:tcW w:w="790" w:type="pct"/>
                  <w:vMerge w:val="continue"/>
                  <w:vAlign w:val="center"/>
                </w:tcPr>
                <w:p>
                  <w:pPr>
                    <w:spacing w:line="300" w:lineRule="auto"/>
                    <w:jc w:val="center"/>
                    <w:rPr>
                      <w:rFonts w:ascii="Times New Roman" w:hAnsi="Times New Roman" w:eastAsiaTheme="minorEastAsia"/>
                      <w:szCs w:val="21"/>
                    </w:rPr>
                  </w:pP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地下水跟踪监测井</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6.0</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6</w:t>
                  </w:r>
                </w:p>
              </w:tc>
              <w:tc>
                <w:tcPr>
                  <w:tcW w:w="79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营运期噪声治理</w:t>
                  </w: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通过使用隔声、减振等措施，降低营运期噪声的影响</w:t>
                  </w:r>
                </w:p>
              </w:tc>
              <w:tc>
                <w:tcPr>
                  <w:tcW w:w="85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0.7</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4"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7</w:t>
                  </w:r>
                </w:p>
              </w:tc>
              <w:tc>
                <w:tcPr>
                  <w:tcW w:w="79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绿化</w:t>
                  </w:r>
                </w:p>
              </w:tc>
              <w:tc>
                <w:tcPr>
                  <w:tcW w:w="2170"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在站区四周边界采取草皮及花卉相结合的方式进行绿化</w:t>
                  </w:r>
                </w:p>
              </w:tc>
              <w:tc>
                <w:tcPr>
                  <w:tcW w:w="858" w:type="pct"/>
                  <w:vAlign w:val="center"/>
                </w:tcPr>
                <w:p>
                  <w:pPr>
                    <w:spacing w:line="300" w:lineRule="auto"/>
                    <w:jc w:val="center"/>
                    <w:rPr>
                      <w:rFonts w:ascii="Times New Roman" w:hAnsi="Times New Roman" w:eastAsiaTheme="minorEastAsia"/>
                      <w:szCs w:val="21"/>
                    </w:rPr>
                  </w:pPr>
                  <w:r>
                    <w:rPr>
                      <w:rFonts w:ascii="Times New Roman" w:hAnsi="Times New Roman" w:eastAsiaTheme="minorEastAsia"/>
                      <w:szCs w:val="21"/>
                    </w:rPr>
                    <w:t>0.8</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84" w:type="pct"/>
                  <w:gridSpan w:val="3"/>
                  <w:vAlign w:val="center"/>
                </w:tcPr>
                <w:p>
                  <w:pPr>
                    <w:spacing w:line="300" w:lineRule="auto"/>
                    <w:jc w:val="center"/>
                    <w:rPr>
                      <w:rFonts w:ascii="Times New Roman" w:hAnsi="Times New Roman" w:eastAsiaTheme="minorEastAsia"/>
                      <w:szCs w:val="21"/>
                      <w:highlight w:val="yellow"/>
                    </w:rPr>
                  </w:pPr>
                  <w:r>
                    <w:rPr>
                      <w:rFonts w:ascii="Times New Roman" w:hAnsi="Times New Roman" w:eastAsiaTheme="minorEastAsia"/>
                      <w:szCs w:val="21"/>
                    </w:rPr>
                    <w:t>总计</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25.5</w:t>
                  </w:r>
                </w:p>
              </w:tc>
              <w:tc>
                <w:tcPr>
                  <w:tcW w:w="858" w:type="pct"/>
                  <w:vAlign w:val="center"/>
                </w:tcPr>
                <w:p>
                  <w:pPr>
                    <w:spacing w:line="300" w:lineRule="auto"/>
                    <w:jc w:val="center"/>
                    <w:rPr>
                      <w:rFonts w:ascii="Times New Roman" w:hAnsi="Times New Roman" w:eastAsiaTheme="minorEastAsia"/>
                      <w:szCs w:val="21"/>
                    </w:rPr>
                  </w:pPr>
                  <w:r>
                    <w:rPr>
                      <w:rFonts w:hint="eastAsia" w:ascii="Times New Roman" w:hAnsi="Times New Roman" w:eastAsiaTheme="minorEastAsia"/>
                      <w:szCs w:val="21"/>
                    </w:rPr>
                    <w:t>4.5</w:t>
                  </w:r>
                </w:p>
              </w:tc>
            </w:tr>
          </w:tbl>
          <w:p>
            <w:pPr>
              <w:spacing w:line="360" w:lineRule="auto"/>
              <w:rPr>
                <w:rFonts w:ascii="Times New Roman" w:hAnsi="Times New Roman"/>
                <w:sz w:val="28"/>
              </w:rPr>
            </w:pPr>
          </w:p>
        </w:tc>
      </w:tr>
    </w:tbl>
    <w:p>
      <w:pPr>
        <w:jc w:val="left"/>
        <w:rPr>
          <w:rFonts w:ascii="Times New Roman" w:hAnsi="Times New Roman"/>
          <w:b/>
          <w:bCs/>
          <w:sz w:val="28"/>
        </w:rPr>
        <w:sectPr>
          <w:pgSz w:w="11906" w:h="16838"/>
          <w:pgMar w:top="1304" w:right="1196" w:bottom="1304" w:left="1588" w:header="851" w:footer="992" w:gutter="0"/>
          <w:cols w:space="720" w:num="1"/>
          <w:titlePg/>
          <w:docGrid w:type="linesAndChars" w:linePitch="312" w:charSpace="0"/>
        </w:sectPr>
      </w:pPr>
    </w:p>
    <w:p>
      <w:pPr>
        <w:pageBreakBefore/>
        <w:spacing w:line="240" w:lineRule="atLeast"/>
        <w:outlineLvl w:val="0"/>
        <w:rPr>
          <w:rFonts w:ascii="Times New Roman" w:hAnsi="Times New Roman" w:eastAsiaTheme="minorEastAsia"/>
          <w:b/>
          <w:bCs/>
          <w:kern w:val="18"/>
          <w:sz w:val="32"/>
          <w:szCs w:val="28"/>
        </w:rPr>
      </w:pPr>
      <w:bookmarkStart w:id="13" w:name="_Toc7363_WPSOffice_Level1"/>
      <w:bookmarkStart w:id="14" w:name="_Toc23354"/>
      <w:bookmarkStart w:id="15" w:name="_Toc536626594"/>
      <w:r>
        <w:rPr>
          <w:rFonts w:ascii="Times New Roman" w:hAnsi="Times New Roman" w:eastAsiaTheme="minorEastAsia"/>
          <w:b/>
          <w:bCs/>
          <w:kern w:val="18"/>
          <w:sz w:val="32"/>
          <w:szCs w:val="28"/>
        </w:rPr>
        <w:t>建设项目拟采取的防治措施及预期治理效果</w:t>
      </w:r>
      <w:bookmarkEnd w:id="13"/>
      <w:bookmarkEnd w:id="14"/>
      <w:bookmarkEnd w:id="15"/>
    </w:p>
    <w:tbl>
      <w:tblPr>
        <w:tblStyle w:val="2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134"/>
        <w:gridCol w:w="1418"/>
        <w:gridCol w:w="2526"/>
        <w:gridCol w:w="2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56" w:type="dxa"/>
            <w:tcBorders>
              <w:top w:val="single" w:color="auto" w:sz="4" w:space="0"/>
              <w:left w:val="single" w:color="auto" w:sz="4" w:space="0"/>
              <w:bottom w:val="single" w:color="auto" w:sz="4" w:space="0"/>
              <w:right w:val="single" w:color="auto" w:sz="4" w:space="0"/>
              <w:tl2br w:val="single" w:color="auto" w:sz="4" w:space="0"/>
            </w:tcBorders>
            <w:vAlign w:val="center"/>
          </w:tcPr>
          <w:p>
            <w:pPr>
              <w:spacing w:line="280" w:lineRule="atLeast"/>
              <w:jc w:val="center"/>
              <w:rPr>
                <w:rFonts w:ascii="Times New Roman" w:hAnsi="Times New Roman"/>
                <w:b/>
                <w:sz w:val="28"/>
                <w:szCs w:val="28"/>
              </w:rPr>
            </w:pPr>
            <w:r>
              <w:rPr>
                <w:rFonts w:ascii="Times New Roman" w:hAnsi="Times New Roman"/>
                <w:b/>
                <w:sz w:val="28"/>
                <w:szCs w:val="28"/>
              </w:rPr>
              <w:t>内容</w:t>
            </w:r>
          </w:p>
          <w:p>
            <w:pPr>
              <w:spacing w:line="280" w:lineRule="atLeast"/>
              <w:jc w:val="center"/>
              <w:rPr>
                <w:rFonts w:ascii="Times New Roman" w:hAnsi="Times New Roman"/>
                <w:b/>
                <w:sz w:val="28"/>
                <w:szCs w:val="28"/>
              </w:rPr>
            </w:pPr>
            <w:r>
              <w:rPr>
                <w:rFonts w:ascii="Times New Roman" w:hAnsi="Times New Roman"/>
                <w:b/>
                <w:sz w:val="28"/>
                <w:szCs w:val="28"/>
              </w:rPr>
              <w:t>类型</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sz w:val="28"/>
                <w:szCs w:val="28"/>
              </w:rPr>
            </w:pPr>
            <w:r>
              <w:rPr>
                <w:rFonts w:ascii="Times New Roman" w:hAnsi="Times New Roman"/>
                <w:b/>
                <w:sz w:val="28"/>
                <w:szCs w:val="28"/>
              </w:rPr>
              <w:t>排放源</w:t>
            </w:r>
          </w:p>
          <w:p>
            <w:pPr>
              <w:spacing w:line="280" w:lineRule="atLeast"/>
              <w:jc w:val="center"/>
              <w:rPr>
                <w:rFonts w:ascii="Times New Roman" w:hAnsi="Times New Roman"/>
                <w:b/>
                <w:sz w:val="28"/>
                <w:szCs w:val="28"/>
              </w:rPr>
            </w:pPr>
            <w:r>
              <w:rPr>
                <w:rFonts w:ascii="Times New Roman" w:hAnsi="Times New Roman"/>
                <w:b/>
                <w:sz w:val="28"/>
                <w:szCs w:val="28"/>
              </w:rPr>
              <w:t>(编号)</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sz w:val="28"/>
                <w:szCs w:val="28"/>
              </w:rPr>
            </w:pPr>
            <w:r>
              <w:rPr>
                <w:rFonts w:ascii="Times New Roman" w:hAnsi="Times New Roman"/>
                <w:b/>
                <w:sz w:val="28"/>
                <w:szCs w:val="28"/>
              </w:rPr>
              <w:t>污染物</w:t>
            </w:r>
          </w:p>
          <w:p>
            <w:pPr>
              <w:spacing w:line="280" w:lineRule="atLeast"/>
              <w:jc w:val="center"/>
              <w:rPr>
                <w:rFonts w:ascii="Times New Roman" w:hAnsi="Times New Roman"/>
                <w:b/>
                <w:sz w:val="28"/>
                <w:szCs w:val="28"/>
              </w:rPr>
            </w:pPr>
            <w:r>
              <w:rPr>
                <w:rFonts w:ascii="Times New Roman" w:hAnsi="Times New Roman"/>
                <w:b/>
                <w:sz w:val="28"/>
                <w:szCs w:val="28"/>
              </w:rPr>
              <w:t>名称</w:t>
            </w:r>
          </w:p>
        </w:tc>
        <w:tc>
          <w:tcPr>
            <w:tcW w:w="2526"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sz w:val="28"/>
                <w:szCs w:val="28"/>
              </w:rPr>
            </w:pPr>
            <w:r>
              <w:rPr>
                <w:rFonts w:ascii="Times New Roman" w:hAnsi="Times New Roman"/>
                <w:b/>
                <w:sz w:val="28"/>
                <w:szCs w:val="28"/>
              </w:rPr>
              <w:t>防治</w:t>
            </w:r>
          </w:p>
          <w:p>
            <w:pPr>
              <w:spacing w:line="280" w:lineRule="atLeast"/>
              <w:jc w:val="center"/>
              <w:rPr>
                <w:rFonts w:ascii="Times New Roman" w:hAnsi="Times New Roman"/>
                <w:b/>
                <w:sz w:val="28"/>
                <w:szCs w:val="28"/>
              </w:rPr>
            </w:pPr>
            <w:r>
              <w:rPr>
                <w:rFonts w:ascii="Times New Roman" w:hAnsi="Times New Roman"/>
                <w:b/>
                <w:sz w:val="28"/>
                <w:szCs w:val="28"/>
              </w:rPr>
              <w:t>措施</w:t>
            </w:r>
          </w:p>
        </w:tc>
        <w:tc>
          <w:tcPr>
            <w:tcW w:w="2866"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sz w:val="28"/>
                <w:szCs w:val="28"/>
              </w:rPr>
            </w:pPr>
            <w:r>
              <w:rPr>
                <w:rFonts w:ascii="Times New Roman" w:hAnsi="Times New Roman"/>
                <w:b/>
                <w:sz w:val="28"/>
                <w:szCs w:val="28"/>
              </w:rPr>
              <w:t>预期治理</w:t>
            </w:r>
          </w:p>
          <w:p>
            <w:pPr>
              <w:spacing w:line="280" w:lineRule="atLeast"/>
              <w:jc w:val="center"/>
              <w:rPr>
                <w:rFonts w:ascii="Times New Roman" w:hAnsi="Times New Roman"/>
                <w:b/>
                <w:sz w:val="28"/>
                <w:szCs w:val="28"/>
              </w:rPr>
            </w:pPr>
            <w:r>
              <w:rPr>
                <w:rFonts w:ascii="Times New Roman" w:hAnsi="Times New Roman"/>
                <w:b/>
                <w:sz w:val="28"/>
                <w:szCs w:val="28"/>
              </w:rPr>
              <w:t>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1056" w:type="dxa"/>
            <w:vMerge w:val="restart"/>
            <w:tcBorders>
              <w:top w:val="single" w:color="auto" w:sz="4" w:space="0"/>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r>
              <w:rPr>
                <w:rFonts w:ascii="Times New Roman" w:hAnsi="Times New Roman"/>
                <w:b/>
                <w:sz w:val="28"/>
                <w:szCs w:val="28"/>
              </w:rPr>
              <w:t>大气污染物</w:t>
            </w:r>
          </w:p>
        </w:tc>
        <w:tc>
          <w:tcPr>
            <w:tcW w:w="1134" w:type="dxa"/>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站区</w:t>
            </w:r>
          </w:p>
        </w:tc>
        <w:tc>
          <w:tcPr>
            <w:tcW w:w="1418" w:type="dxa"/>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非甲烷总烃</w:t>
            </w:r>
          </w:p>
        </w:tc>
        <w:tc>
          <w:tcPr>
            <w:tcW w:w="2526" w:type="dxa"/>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hint="eastAsia" w:ascii="Times New Roman" w:hAnsi="Times New Roman"/>
                <w:sz w:val="24"/>
                <w:szCs w:val="24"/>
              </w:rPr>
              <w:t>加油站汽油卸油时排放的油气，采用密闭收集为基础的卸油油气回收系统进行回收，卸油的回收效率95%；汽油加油机排放的油气，采用分散式加油油气回收装置，加油回收效率90%。柴油储罐油罐密闭措施可以有效控制柴油储存过程中的呼吸损失。</w:t>
            </w:r>
          </w:p>
        </w:tc>
        <w:tc>
          <w:tcPr>
            <w:tcW w:w="2866"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hint="eastAsia" w:ascii="Times New Roman" w:hAnsi="Times New Roman"/>
                <w:sz w:val="24"/>
                <w:szCs w:val="24"/>
              </w:rPr>
              <w:t>符合《大气污染物综合排放标准》（GB16297－1996）表2中非甲烷总烃周界外浓度最高点无组织排放监控浓度限值≤4.0mg/m</w:t>
            </w:r>
            <w:r>
              <w:rPr>
                <w:rFonts w:hint="eastAsia" w:ascii="Times New Roman" w:hAnsi="Times New Roman"/>
                <w:sz w:val="24"/>
                <w:szCs w:val="24"/>
                <w:vertAlign w:val="superscript"/>
              </w:rPr>
              <w:t>3</w:t>
            </w:r>
            <w:r>
              <w:rPr>
                <w:rFonts w:hint="eastAsia" w:ascii="Times New Roman" w:hAnsi="Times New Roman"/>
                <w:sz w:val="24"/>
                <w:szCs w:val="24"/>
              </w:rPr>
              <w:t>。</w:t>
            </w:r>
            <w:r>
              <w:rPr>
                <w:rFonts w:hint="eastAsia"/>
                <w:sz w:val="24"/>
                <w:szCs w:val="24"/>
              </w:rPr>
              <w:t>站内</w:t>
            </w:r>
            <w:r>
              <w:rPr>
                <w:sz w:val="24"/>
                <w:szCs w:val="24"/>
              </w:rPr>
              <w:t>满足《</w:t>
            </w:r>
            <w:r>
              <w:rPr>
                <w:rFonts w:hint="eastAsia"/>
                <w:sz w:val="24"/>
                <w:szCs w:val="24"/>
              </w:rPr>
              <w:t>挥发性</w:t>
            </w:r>
            <w:r>
              <w:rPr>
                <w:sz w:val="24"/>
                <w:szCs w:val="24"/>
              </w:rPr>
              <w:t>有机物无组织排放标准》（GB</w:t>
            </w:r>
            <w:r>
              <w:rPr>
                <w:rFonts w:hint="eastAsia"/>
                <w:sz w:val="24"/>
                <w:szCs w:val="24"/>
              </w:rPr>
              <w:t>37822</w:t>
            </w:r>
            <w:r>
              <w:rPr>
                <w:sz w:val="24"/>
                <w:szCs w:val="24"/>
              </w:rPr>
              <w:t>-20</w:t>
            </w:r>
            <w:r>
              <w:rPr>
                <w:rFonts w:hint="eastAsia"/>
                <w:sz w:val="24"/>
                <w:szCs w:val="24"/>
              </w:rPr>
              <w:t>19</w:t>
            </w:r>
            <w:r>
              <w:rPr>
                <w:sz w:val="24"/>
                <w:szCs w:val="24"/>
              </w:rPr>
              <w:t>）中表</w:t>
            </w:r>
            <w:r>
              <w:rPr>
                <w:rFonts w:hint="eastAsia"/>
                <w:sz w:val="24"/>
                <w:szCs w:val="24"/>
              </w:rPr>
              <w:t>A.1无组织排放限值（1h平均浓度≤10mg/m</w:t>
            </w:r>
            <w:r>
              <w:rPr>
                <w:rFonts w:hint="eastAsia"/>
                <w:sz w:val="24"/>
                <w:szCs w:val="24"/>
                <w:vertAlign w:val="superscript"/>
              </w:rPr>
              <w:t>3</w:t>
            </w:r>
            <w:r>
              <w:rPr>
                <w:rFonts w:hint="eastAsia"/>
                <w:sz w:val="24"/>
                <w:szCs w:val="24"/>
              </w:rPr>
              <w:t>，任意一次浓度值≤30mg/m</w:t>
            </w:r>
            <w:r>
              <w:rPr>
                <w:rFonts w:hint="eastAsia"/>
                <w:sz w:val="24"/>
                <w:szCs w:val="24"/>
                <w:vertAlign w:val="superscript"/>
              </w:rPr>
              <w:t>3</w:t>
            </w:r>
            <w:r>
              <w:rPr>
                <w:rFonts w:hint="eastAsia"/>
                <w:sz w:val="24"/>
                <w:szCs w:val="24"/>
              </w:rPr>
              <w:t>）；油气排放执行《加油站大气污染物排放标准》(GB20952-2007)：处理装置的油气排放浓度应小于等于25g/m</w:t>
            </w:r>
            <w:r>
              <w:rPr>
                <w:rFonts w:hint="eastAsia"/>
                <w:sz w:val="24"/>
                <w:szCs w:val="24"/>
                <w:vertAlign w:val="superscript"/>
              </w:rPr>
              <w:t>3</w:t>
            </w:r>
            <w:r>
              <w:rPr>
                <w:rFonts w:hint="eastAsia"/>
                <w:sz w:val="24"/>
                <w:szCs w:val="24"/>
              </w:rPr>
              <w:t>，排放口距地面高度应不低于4m。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7" w:hRule="atLeast"/>
          <w:jc w:val="center"/>
        </w:trPr>
        <w:tc>
          <w:tcPr>
            <w:tcW w:w="1056" w:type="dxa"/>
            <w:vMerge w:val="continue"/>
            <w:tcBorders>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p>
        </w:tc>
        <w:tc>
          <w:tcPr>
            <w:tcW w:w="1134" w:type="dxa"/>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hint="eastAsia" w:ascii="Times New Roman" w:hAnsi="Times New Roman"/>
                <w:sz w:val="24"/>
                <w:szCs w:val="24"/>
              </w:rPr>
              <w:t>食堂</w:t>
            </w:r>
          </w:p>
        </w:tc>
        <w:tc>
          <w:tcPr>
            <w:tcW w:w="1418" w:type="dxa"/>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hint="eastAsia" w:ascii="Times New Roman" w:hAnsi="Times New Roman"/>
                <w:sz w:val="24"/>
                <w:szCs w:val="24"/>
              </w:rPr>
              <w:t>油烟</w:t>
            </w:r>
          </w:p>
        </w:tc>
        <w:tc>
          <w:tcPr>
            <w:tcW w:w="2526" w:type="dxa"/>
            <w:tcBorders>
              <w:top w:val="single" w:color="auto" w:sz="4" w:space="0"/>
              <w:left w:val="single" w:color="auto" w:sz="4" w:space="0"/>
              <w:right w:val="single" w:color="auto" w:sz="4" w:space="0"/>
            </w:tcBorders>
            <w:vAlign w:val="center"/>
          </w:tcPr>
          <w:p>
            <w:pPr>
              <w:pStyle w:val="11"/>
              <w:adjustRightInd w:val="0"/>
              <w:snapToGrid w:val="0"/>
              <w:spacing w:after="0"/>
              <w:ind w:left="0" w:leftChars="0"/>
              <w:jc w:val="center"/>
              <w:rPr>
                <w:rFonts w:ascii="Times New Roman" w:hAnsi="Times New Roman" w:eastAsiaTheme="minorEastAsia"/>
                <w:sz w:val="24"/>
                <w:szCs w:val="24"/>
              </w:rPr>
            </w:pPr>
            <w:r>
              <w:rPr>
                <w:rFonts w:hint="eastAsia" w:ascii="Times New Roman" w:hAnsi="Times New Roman" w:eastAsiaTheme="minorEastAsia"/>
                <w:sz w:val="24"/>
                <w:szCs w:val="24"/>
              </w:rPr>
              <w:t>净化效率60%的油烟净化器</w:t>
            </w:r>
          </w:p>
        </w:tc>
        <w:tc>
          <w:tcPr>
            <w:tcW w:w="28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textAlignment w:val="center"/>
              <w:rPr>
                <w:rFonts w:eastAsiaTheme="minorEastAsia"/>
                <w:sz w:val="24"/>
                <w:szCs w:val="24"/>
              </w:rPr>
            </w:pPr>
            <w:r>
              <w:rPr>
                <w:rFonts w:hint="eastAsia" w:eastAsiaTheme="minorEastAsia"/>
                <w:sz w:val="24"/>
                <w:szCs w:val="24"/>
              </w:rPr>
              <w:t>《饮食业油烟排放标准（试行）》（GB18483-2001）小型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056" w:type="dxa"/>
            <w:vMerge w:val="restart"/>
            <w:tcBorders>
              <w:top w:val="single" w:color="auto" w:sz="4" w:space="0"/>
              <w:left w:val="single" w:color="auto" w:sz="4" w:space="0"/>
              <w:right w:val="single" w:color="auto" w:sz="4" w:space="0"/>
            </w:tcBorders>
            <w:vAlign w:val="center"/>
          </w:tcPr>
          <w:p>
            <w:pPr>
              <w:snapToGrid w:val="0"/>
              <w:jc w:val="center"/>
              <w:rPr>
                <w:rFonts w:ascii="Times New Roman" w:hAnsi="Times New Roman"/>
                <w:b/>
                <w:sz w:val="28"/>
                <w:szCs w:val="28"/>
              </w:rPr>
            </w:pPr>
            <w:r>
              <w:rPr>
                <w:rFonts w:ascii="Times New Roman" w:hAnsi="Times New Roman"/>
                <w:b/>
                <w:sz w:val="28"/>
                <w:szCs w:val="28"/>
              </w:rPr>
              <w:t>水</w:t>
            </w:r>
          </w:p>
          <w:p>
            <w:pPr>
              <w:snapToGrid w:val="0"/>
              <w:jc w:val="center"/>
              <w:rPr>
                <w:rFonts w:ascii="Times New Roman" w:hAnsi="Times New Roman"/>
                <w:b/>
                <w:sz w:val="28"/>
                <w:szCs w:val="28"/>
              </w:rPr>
            </w:pPr>
            <w:r>
              <w:rPr>
                <w:rFonts w:ascii="Times New Roman" w:hAnsi="Times New Roman"/>
                <w:b/>
                <w:sz w:val="28"/>
                <w:szCs w:val="28"/>
              </w:rPr>
              <w:t>污</w:t>
            </w:r>
          </w:p>
          <w:p>
            <w:pPr>
              <w:snapToGrid w:val="0"/>
              <w:jc w:val="center"/>
              <w:rPr>
                <w:rFonts w:ascii="Times New Roman" w:hAnsi="Times New Roman"/>
                <w:b/>
                <w:sz w:val="28"/>
                <w:szCs w:val="28"/>
              </w:rPr>
            </w:pPr>
            <w:r>
              <w:rPr>
                <w:rFonts w:ascii="Times New Roman" w:hAnsi="Times New Roman"/>
                <w:b/>
                <w:sz w:val="28"/>
                <w:szCs w:val="28"/>
              </w:rPr>
              <w:t>染</w:t>
            </w:r>
          </w:p>
          <w:p>
            <w:pPr>
              <w:snapToGrid w:val="0"/>
              <w:jc w:val="center"/>
              <w:rPr>
                <w:rFonts w:ascii="Times New Roman" w:hAnsi="Times New Roman"/>
                <w:b/>
                <w:sz w:val="28"/>
                <w:szCs w:val="28"/>
              </w:rPr>
            </w:pPr>
            <w:r>
              <w:rPr>
                <w:rFonts w:ascii="Times New Roman" w:hAnsi="Times New Roman"/>
                <w:b/>
                <w:sz w:val="28"/>
                <w:szCs w:val="28"/>
              </w:rPr>
              <w:t>物</w:t>
            </w:r>
          </w:p>
        </w:tc>
        <w:tc>
          <w:tcPr>
            <w:tcW w:w="1134" w:type="dxa"/>
            <w:vMerge w:val="restart"/>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员工生活</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COD</w:t>
            </w:r>
          </w:p>
        </w:tc>
        <w:tc>
          <w:tcPr>
            <w:tcW w:w="2526" w:type="dxa"/>
            <w:vMerge w:val="restart"/>
            <w:tcBorders>
              <w:top w:val="single" w:color="auto" w:sz="4" w:space="0"/>
              <w:left w:val="single" w:color="auto" w:sz="4" w:space="0"/>
              <w:right w:val="single" w:color="auto" w:sz="4" w:space="0"/>
            </w:tcBorders>
            <w:vAlign w:val="center"/>
          </w:tcPr>
          <w:p>
            <w:pPr>
              <w:spacing w:line="280" w:lineRule="atLeast"/>
              <w:ind w:right="-122" w:rightChars="-58"/>
              <w:rPr>
                <w:rFonts w:ascii="Times New Roman" w:hAnsi="Times New Roman"/>
                <w:sz w:val="24"/>
                <w:szCs w:val="24"/>
              </w:rPr>
            </w:pPr>
            <w:r>
              <w:rPr>
                <w:rFonts w:hint="eastAsia" w:ascii="Times New Roman" w:hAnsi="Times New Roman"/>
                <w:sz w:val="24"/>
                <w:szCs w:val="24"/>
              </w:rPr>
              <w:t>排至防渗旱厕，定期清掏，外运堆肥</w:t>
            </w:r>
          </w:p>
        </w:tc>
        <w:tc>
          <w:tcPr>
            <w:tcW w:w="2866" w:type="dxa"/>
            <w:vMerge w:val="restart"/>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妥善处置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056" w:type="dxa"/>
            <w:vMerge w:val="continue"/>
            <w:tcBorders>
              <w:left w:val="single" w:color="auto" w:sz="4" w:space="0"/>
              <w:right w:val="single" w:color="auto" w:sz="4" w:space="0"/>
            </w:tcBorders>
            <w:textDirection w:val="tbRlV"/>
            <w:vAlign w:val="center"/>
          </w:tcPr>
          <w:p>
            <w:pPr>
              <w:jc w:val="center"/>
              <w:rPr>
                <w:rFonts w:ascii="Times New Roman" w:hAnsi="Times New Roman"/>
                <w:b/>
                <w:sz w:val="28"/>
                <w:szCs w:val="28"/>
              </w:rPr>
            </w:pPr>
          </w:p>
        </w:tc>
        <w:tc>
          <w:tcPr>
            <w:tcW w:w="1134" w:type="dxa"/>
            <w:vMerge w:val="continue"/>
            <w:tcBorders>
              <w:left w:val="single" w:color="auto" w:sz="4" w:space="0"/>
              <w:right w:val="single" w:color="auto" w:sz="4" w:space="0"/>
            </w:tcBorders>
            <w:vAlign w:val="center"/>
          </w:tcPr>
          <w:p>
            <w:pPr>
              <w:spacing w:line="280" w:lineRule="atLeast"/>
              <w:jc w:val="center"/>
              <w:rPr>
                <w:rFonts w:ascii="Times New Roman" w:hAnsi="Times New Roman"/>
                <w:sz w:val="24"/>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SS</w:t>
            </w:r>
          </w:p>
        </w:tc>
        <w:tc>
          <w:tcPr>
            <w:tcW w:w="2526" w:type="dxa"/>
            <w:vMerge w:val="continue"/>
            <w:tcBorders>
              <w:left w:val="single" w:color="auto" w:sz="4" w:space="0"/>
              <w:right w:val="single" w:color="auto" w:sz="4" w:space="0"/>
            </w:tcBorders>
            <w:vAlign w:val="center"/>
          </w:tcPr>
          <w:p>
            <w:pPr>
              <w:spacing w:line="280" w:lineRule="atLeast"/>
              <w:ind w:right="-122" w:rightChars="-58" w:firstLine="2"/>
              <w:jc w:val="center"/>
              <w:rPr>
                <w:rFonts w:ascii="Times New Roman" w:hAnsi="Times New Roman"/>
                <w:sz w:val="24"/>
                <w:szCs w:val="24"/>
              </w:rPr>
            </w:pPr>
          </w:p>
        </w:tc>
        <w:tc>
          <w:tcPr>
            <w:tcW w:w="2866" w:type="dxa"/>
            <w:vMerge w:val="continue"/>
            <w:tcBorders>
              <w:left w:val="single" w:color="auto" w:sz="4" w:space="0"/>
              <w:right w:val="single" w:color="auto" w:sz="4" w:space="0"/>
            </w:tcBorders>
            <w:vAlign w:val="center"/>
          </w:tcPr>
          <w:p>
            <w:pPr>
              <w:spacing w:line="280" w:lineRule="atLeast"/>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1056" w:type="dxa"/>
            <w:vMerge w:val="continue"/>
            <w:tcBorders>
              <w:left w:val="single" w:color="auto" w:sz="4" w:space="0"/>
              <w:right w:val="single" w:color="auto" w:sz="4" w:space="0"/>
            </w:tcBorders>
            <w:textDirection w:val="tbRlV"/>
            <w:vAlign w:val="center"/>
          </w:tcPr>
          <w:p>
            <w:pPr>
              <w:jc w:val="center"/>
              <w:rPr>
                <w:rFonts w:ascii="Times New Roman" w:hAnsi="Times New Roman"/>
                <w:b/>
                <w:sz w:val="28"/>
                <w:szCs w:val="28"/>
              </w:rPr>
            </w:pPr>
          </w:p>
        </w:tc>
        <w:tc>
          <w:tcPr>
            <w:tcW w:w="1134" w:type="dxa"/>
            <w:vMerge w:val="continue"/>
            <w:tcBorders>
              <w:left w:val="single" w:color="auto" w:sz="4" w:space="0"/>
              <w:right w:val="single" w:color="auto" w:sz="4" w:space="0"/>
            </w:tcBorders>
            <w:vAlign w:val="center"/>
          </w:tcPr>
          <w:p>
            <w:pPr>
              <w:spacing w:line="280" w:lineRule="atLeast"/>
              <w:jc w:val="center"/>
              <w:rPr>
                <w:rFonts w:ascii="Times New Roman" w:hAnsi="Times New Roman"/>
                <w:sz w:val="24"/>
                <w:szCs w:val="24"/>
              </w:rPr>
            </w:pPr>
          </w:p>
        </w:tc>
        <w:tc>
          <w:tcPr>
            <w:tcW w:w="1418" w:type="dxa"/>
            <w:tcBorders>
              <w:top w:val="single" w:color="auto" w:sz="4" w:space="0"/>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氨氮</w:t>
            </w:r>
          </w:p>
        </w:tc>
        <w:tc>
          <w:tcPr>
            <w:tcW w:w="2526" w:type="dxa"/>
            <w:vMerge w:val="continue"/>
            <w:tcBorders>
              <w:left w:val="single" w:color="auto" w:sz="4" w:space="0"/>
              <w:right w:val="single" w:color="auto" w:sz="4" w:space="0"/>
            </w:tcBorders>
            <w:vAlign w:val="center"/>
          </w:tcPr>
          <w:p>
            <w:pPr>
              <w:spacing w:line="280" w:lineRule="atLeast"/>
              <w:ind w:right="-122" w:rightChars="-58" w:firstLine="2"/>
              <w:jc w:val="center"/>
              <w:rPr>
                <w:rFonts w:ascii="Times New Roman" w:hAnsi="Times New Roman"/>
                <w:sz w:val="24"/>
                <w:szCs w:val="24"/>
              </w:rPr>
            </w:pPr>
          </w:p>
        </w:tc>
        <w:tc>
          <w:tcPr>
            <w:tcW w:w="2866" w:type="dxa"/>
            <w:vMerge w:val="continue"/>
            <w:tcBorders>
              <w:left w:val="single" w:color="auto" w:sz="4" w:space="0"/>
              <w:right w:val="single" w:color="auto" w:sz="4" w:space="0"/>
            </w:tcBorders>
            <w:vAlign w:val="center"/>
          </w:tcPr>
          <w:p>
            <w:pPr>
              <w:spacing w:line="280" w:lineRule="atLeast"/>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3" w:hRule="atLeast"/>
          <w:jc w:val="center"/>
        </w:trPr>
        <w:tc>
          <w:tcPr>
            <w:tcW w:w="1056" w:type="dxa"/>
            <w:vMerge w:val="restart"/>
            <w:tcBorders>
              <w:top w:val="single" w:color="auto" w:sz="4" w:space="0"/>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r>
              <w:rPr>
                <w:rFonts w:ascii="Times New Roman" w:hAnsi="Times New Roman"/>
                <w:b/>
                <w:sz w:val="28"/>
                <w:szCs w:val="28"/>
              </w:rPr>
              <w:t>固体废物</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员工生活</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生活垃圾</w:t>
            </w:r>
          </w:p>
        </w:tc>
        <w:tc>
          <w:tcPr>
            <w:tcW w:w="2526" w:type="dxa"/>
            <w:tcBorders>
              <w:top w:val="single" w:color="auto" w:sz="4" w:space="0"/>
              <w:left w:val="single" w:color="auto" w:sz="4" w:space="0"/>
              <w:bottom w:val="single" w:color="auto" w:sz="4" w:space="0"/>
              <w:right w:val="single" w:color="auto" w:sz="4" w:space="0"/>
            </w:tcBorders>
            <w:vAlign w:val="center"/>
          </w:tcPr>
          <w:p>
            <w:pPr>
              <w:spacing w:line="280" w:lineRule="atLeast"/>
              <w:ind w:firstLine="2"/>
              <w:jc w:val="center"/>
              <w:rPr>
                <w:rFonts w:ascii="Times New Roman" w:hAnsi="Times New Roman"/>
                <w:sz w:val="24"/>
                <w:szCs w:val="24"/>
              </w:rPr>
            </w:pPr>
            <w:r>
              <w:rPr>
                <w:rFonts w:ascii="Times New Roman" w:hAnsi="Times New Roman"/>
                <w:sz w:val="24"/>
                <w:szCs w:val="24"/>
              </w:rPr>
              <w:t>送至环卫部门指定的消纳地点</w:t>
            </w:r>
          </w:p>
        </w:tc>
        <w:tc>
          <w:tcPr>
            <w:tcW w:w="2866" w:type="dxa"/>
            <w:vMerge w:val="restart"/>
            <w:tcBorders>
              <w:left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处置率100%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056" w:type="dxa"/>
            <w:vMerge w:val="continue"/>
            <w:tcBorders>
              <w:top w:val="single" w:color="auto" w:sz="4" w:space="0"/>
              <w:left w:val="single" w:color="auto" w:sz="4" w:space="0"/>
              <w:right w:val="single" w:color="auto" w:sz="4" w:space="0"/>
            </w:tcBorders>
            <w:textDirection w:val="tbRlV"/>
            <w:vAlign w:val="center"/>
          </w:tcPr>
          <w:p>
            <w:pPr>
              <w:ind w:left="113" w:right="113"/>
              <w:jc w:val="center"/>
              <w:rPr>
                <w:rFonts w:ascii="Times New Roman" w:hAnsi="Times New Roman"/>
                <w:b/>
                <w:sz w:val="28"/>
                <w:szCs w:val="28"/>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hint="eastAsia" w:ascii="Times New Roman" w:hAnsi="Times New Roman"/>
                <w:sz w:val="24"/>
                <w:szCs w:val="24"/>
              </w:rPr>
              <w:t>食堂</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int="eastAsia"/>
                <w:bCs/>
                <w:sz w:val="24"/>
                <w:szCs w:val="24"/>
              </w:rPr>
              <w:t>废油脂</w:t>
            </w:r>
          </w:p>
        </w:tc>
        <w:tc>
          <w:tcPr>
            <w:tcW w:w="2526" w:type="dxa"/>
            <w:tcBorders>
              <w:top w:val="single" w:color="auto" w:sz="4" w:space="0"/>
              <w:left w:val="single" w:color="auto" w:sz="4" w:space="0"/>
              <w:bottom w:val="single" w:color="auto" w:sz="4" w:space="0"/>
              <w:right w:val="single" w:color="auto" w:sz="4" w:space="0"/>
            </w:tcBorders>
            <w:vAlign w:val="center"/>
          </w:tcPr>
          <w:p>
            <w:pPr>
              <w:jc w:val="center"/>
              <w:rPr>
                <w:bCs/>
                <w:sz w:val="24"/>
                <w:szCs w:val="24"/>
              </w:rPr>
            </w:pPr>
            <w:r>
              <w:rPr>
                <w:rFonts w:hint="eastAsia"/>
                <w:bCs/>
                <w:sz w:val="24"/>
                <w:szCs w:val="24"/>
              </w:rPr>
              <w:t>委托环境卫生管理机构收集运输，无害化处置</w:t>
            </w:r>
          </w:p>
        </w:tc>
        <w:tc>
          <w:tcPr>
            <w:tcW w:w="2866" w:type="dxa"/>
            <w:vMerge w:val="continue"/>
            <w:tcBorders>
              <w:left w:val="single" w:color="auto" w:sz="4" w:space="0"/>
              <w:right w:val="single" w:color="auto" w:sz="4" w:space="0"/>
            </w:tcBorders>
            <w:vAlign w:val="center"/>
          </w:tcPr>
          <w:p>
            <w:pPr>
              <w:spacing w:line="280" w:lineRule="atLeast"/>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0" w:hRule="atLeast"/>
          <w:jc w:val="center"/>
        </w:trPr>
        <w:tc>
          <w:tcPr>
            <w:tcW w:w="1056" w:type="dxa"/>
            <w:vMerge w:val="continue"/>
            <w:tcBorders>
              <w:left w:val="single" w:color="auto" w:sz="4" w:space="0"/>
              <w:right w:val="single" w:color="auto" w:sz="4" w:space="0"/>
            </w:tcBorders>
            <w:vAlign w:val="center"/>
          </w:tcPr>
          <w:p>
            <w:pPr>
              <w:widowControl/>
              <w:spacing w:line="280" w:lineRule="atLeast"/>
              <w:jc w:val="left"/>
              <w:rPr>
                <w:rFonts w:ascii="Times New Roman" w:hAnsi="Times New Roman"/>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bCs/>
                <w:sz w:val="24"/>
                <w:szCs w:val="24"/>
              </w:rPr>
              <w:t>地下储油罐</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油泥</w:t>
            </w:r>
          </w:p>
        </w:tc>
        <w:tc>
          <w:tcPr>
            <w:tcW w:w="2526" w:type="dxa"/>
            <w:tcBorders>
              <w:top w:val="single" w:color="auto" w:sz="4" w:space="0"/>
              <w:left w:val="single" w:color="auto" w:sz="4" w:space="0"/>
              <w:bottom w:val="single" w:color="auto" w:sz="4" w:space="0"/>
              <w:right w:val="single" w:color="auto" w:sz="4" w:space="0"/>
            </w:tcBorders>
            <w:vAlign w:val="center"/>
          </w:tcPr>
          <w:p>
            <w:pPr>
              <w:spacing w:line="280" w:lineRule="atLeast"/>
              <w:ind w:firstLine="2"/>
              <w:jc w:val="center"/>
              <w:rPr>
                <w:rFonts w:ascii="Times New Roman" w:hAnsi="Times New Roman"/>
                <w:sz w:val="24"/>
                <w:szCs w:val="24"/>
              </w:rPr>
            </w:pPr>
            <w:r>
              <w:rPr>
                <w:rFonts w:ascii="Times New Roman" w:hAnsi="Times New Roman"/>
                <w:sz w:val="24"/>
                <w:szCs w:val="24"/>
              </w:rPr>
              <w:t>油泥的清除、运输和处置均由具备该资质的专业公司完成，不暂存</w:t>
            </w:r>
          </w:p>
        </w:tc>
        <w:tc>
          <w:tcPr>
            <w:tcW w:w="2866" w:type="dxa"/>
            <w:vMerge w:val="continue"/>
            <w:tcBorders>
              <w:left w:val="single" w:color="auto" w:sz="4" w:space="0"/>
              <w:right w:val="single" w:color="auto" w:sz="4" w:space="0"/>
            </w:tcBorders>
          </w:tcPr>
          <w:p>
            <w:pPr>
              <w:widowControl/>
              <w:spacing w:line="280" w:lineRule="atLeast"/>
              <w:jc w:val="left"/>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56"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sz w:val="28"/>
                <w:szCs w:val="28"/>
              </w:rPr>
            </w:pPr>
            <w:r>
              <w:rPr>
                <w:rFonts w:ascii="Times New Roman" w:hAnsi="Times New Roman"/>
                <w:b/>
                <w:sz w:val="28"/>
                <w:szCs w:val="28"/>
              </w:rPr>
              <w:t>噪声</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加油机</w:t>
            </w:r>
          </w:p>
          <w:p>
            <w:pPr>
              <w:spacing w:line="280" w:lineRule="atLeast"/>
              <w:jc w:val="center"/>
              <w:rPr>
                <w:rFonts w:ascii="Times New Roman" w:hAnsi="Times New Roman"/>
                <w:sz w:val="24"/>
                <w:szCs w:val="24"/>
              </w:rPr>
            </w:pPr>
            <w:r>
              <w:rPr>
                <w:rFonts w:ascii="Times New Roman" w:hAnsi="Times New Roman"/>
                <w:sz w:val="24"/>
                <w:szCs w:val="24"/>
              </w:rPr>
              <w:t>进出车辆</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ascii="Times New Roman" w:hAnsi="Times New Roman"/>
                <w:sz w:val="24"/>
                <w:szCs w:val="24"/>
              </w:rPr>
              <w:t>噪声</w:t>
            </w:r>
          </w:p>
        </w:tc>
        <w:tc>
          <w:tcPr>
            <w:tcW w:w="2526" w:type="dxa"/>
            <w:tcBorders>
              <w:top w:val="single" w:color="auto" w:sz="4" w:space="0"/>
              <w:left w:val="single" w:color="auto" w:sz="4" w:space="0"/>
              <w:bottom w:val="single" w:color="auto" w:sz="4" w:space="0"/>
              <w:right w:val="single" w:color="auto" w:sz="4" w:space="0"/>
            </w:tcBorders>
            <w:vAlign w:val="center"/>
          </w:tcPr>
          <w:p>
            <w:pPr>
              <w:spacing w:line="280" w:lineRule="atLeast"/>
              <w:ind w:left="-107" w:leftChars="-51" w:right="-107" w:rightChars="-51"/>
              <w:jc w:val="center"/>
              <w:rPr>
                <w:rFonts w:ascii="Times New Roman" w:hAnsi="Times New Roman"/>
                <w:sz w:val="24"/>
                <w:szCs w:val="24"/>
              </w:rPr>
            </w:pPr>
            <w:r>
              <w:rPr>
                <w:rFonts w:ascii="Times New Roman" w:hAnsi="Times New Roman"/>
                <w:sz w:val="24"/>
                <w:szCs w:val="24"/>
              </w:rPr>
              <w:t>限速行驶、选取低噪声设备，采取隔声、减振措施</w:t>
            </w:r>
          </w:p>
        </w:tc>
        <w:tc>
          <w:tcPr>
            <w:tcW w:w="2866" w:type="dxa"/>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sz w:val="24"/>
                <w:szCs w:val="24"/>
              </w:rPr>
            </w:pPr>
            <w:r>
              <w:rPr>
                <w:rFonts w:hint="eastAsia" w:ascii="Times New Roman" w:hAnsi="Times New Roman"/>
                <w:sz w:val="24"/>
                <w:szCs w:val="24"/>
              </w:rPr>
              <w:t>东、南、西厂界《工业企业厂界环境噪声排放标准》(GB12348-2008) 2类标准；</w:t>
            </w:r>
          </w:p>
          <w:p>
            <w:pPr>
              <w:spacing w:line="280" w:lineRule="atLeast"/>
              <w:jc w:val="center"/>
              <w:rPr>
                <w:rFonts w:ascii="Times New Roman" w:hAnsi="Times New Roman"/>
                <w:sz w:val="24"/>
                <w:szCs w:val="24"/>
              </w:rPr>
            </w:pPr>
            <w:r>
              <w:rPr>
                <w:rFonts w:hint="eastAsia" w:ascii="Times New Roman" w:hAnsi="Times New Roman"/>
                <w:sz w:val="24"/>
                <w:szCs w:val="24"/>
              </w:rPr>
              <w:t>北侧厂界《工业企业厂界环境噪声排放标准》(GB12348-2008)4类标准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9" w:hRule="atLeast"/>
          <w:jc w:val="center"/>
        </w:trPr>
        <w:tc>
          <w:tcPr>
            <w:tcW w:w="9000" w:type="dxa"/>
            <w:gridSpan w:val="5"/>
            <w:tcBorders>
              <w:top w:val="single" w:color="auto" w:sz="4" w:space="0"/>
              <w:left w:val="single" w:color="auto" w:sz="4" w:space="0"/>
              <w:bottom w:val="single" w:color="auto" w:sz="4" w:space="0"/>
              <w:right w:val="single" w:color="auto" w:sz="4" w:space="0"/>
            </w:tcBorders>
          </w:tcPr>
          <w:p>
            <w:pPr>
              <w:spacing w:line="360" w:lineRule="auto"/>
              <w:rPr>
                <w:rFonts w:ascii="Times New Roman" w:hAnsi="Times New Roman"/>
                <w:b/>
                <w:sz w:val="24"/>
              </w:rPr>
            </w:pPr>
            <w:r>
              <w:rPr>
                <w:rFonts w:ascii="Times New Roman" w:hAnsi="Times New Roman"/>
                <w:b/>
                <w:sz w:val="24"/>
              </w:rPr>
              <w:t>生态保护措施及预期效果</w:t>
            </w:r>
          </w:p>
          <w:p>
            <w:pPr>
              <w:spacing w:line="360" w:lineRule="auto"/>
              <w:ind w:firstLine="573"/>
              <w:rPr>
                <w:rFonts w:ascii="Times New Roman" w:hAnsi="Times New Roman"/>
                <w:sz w:val="24"/>
              </w:rPr>
            </w:pPr>
            <w:r>
              <w:rPr>
                <w:rFonts w:ascii="Times New Roman" w:hAnsi="Times New Roman"/>
                <w:sz w:val="24"/>
              </w:rPr>
              <w:t>在工程设计中应考虑根据因地制宜，适地适树的原则配合适宜的绿化工程建设，在加油站的建筑物周围、道路两旁，配合建筑物的环境，采用点、线、面相结合的方式布置广场和草坪等；在所有能够绿化的地方均加以绿化，种植花卉和草坪，不使泥土裸露，达到防治项目区水土流失和改善周边生态环境的目的，不仅美化环境，而且可以起到调温、吸尘和降噪等作用。</w:t>
            </w: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p>
            <w:pPr>
              <w:spacing w:line="360" w:lineRule="auto"/>
              <w:ind w:firstLine="573"/>
              <w:rPr>
                <w:rFonts w:ascii="Times New Roman" w:hAnsi="Times New Roman"/>
                <w:sz w:val="24"/>
              </w:rPr>
            </w:pPr>
          </w:p>
        </w:tc>
      </w:tr>
    </w:tbl>
    <w:p>
      <w:pPr>
        <w:spacing w:line="360" w:lineRule="auto"/>
        <w:jc w:val="center"/>
        <w:rPr>
          <w:rFonts w:ascii="Times New Roman" w:hAnsi="Times New Roman"/>
          <w:b/>
          <w:sz w:val="24"/>
        </w:rPr>
        <w:sectPr>
          <w:pgSz w:w="11906" w:h="16838"/>
          <w:pgMar w:top="1440" w:right="1800" w:bottom="1440" w:left="1800" w:header="851" w:footer="992" w:gutter="0"/>
          <w:cols w:space="425" w:num="1"/>
          <w:docGrid w:type="lines" w:linePitch="312" w:charSpace="0"/>
        </w:sectPr>
      </w:pPr>
      <w:bookmarkStart w:id="16" w:name="_Toc8543_WPSOffice_Level1"/>
      <w:bookmarkStart w:id="17" w:name="_Toc16583"/>
    </w:p>
    <w:p>
      <w:pPr>
        <w:pageBreakBefore/>
        <w:spacing w:line="240" w:lineRule="atLeast"/>
        <w:outlineLvl w:val="0"/>
        <w:rPr>
          <w:rFonts w:ascii="Times New Roman" w:hAnsi="Times New Roman" w:eastAsiaTheme="minorEastAsia"/>
          <w:b/>
          <w:bCs/>
          <w:kern w:val="18"/>
          <w:sz w:val="32"/>
          <w:szCs w:val="28"/>
        </w:rPr>
      </w:pPr>
      <w:bookmarkStart w:id="18" w:name="_Toc536626595"/>
      <w:r>
        <w:rPr>
          <w:rFonts w:ascii="Times New Roman" w:hAnsi="Times New Roman" w:eastAsiaTheme="minorEastAsia"/>
          <w:b/>
          <w:bCs/>
          <w:kern w:val="18"/>
          <w:sz w:val="32"/>
          <w:szCs w:val="28"/>
        </w:rPr>
        <w:t>结论与建议</w:t>
      </w:r>
      <w:bookmarkEnd w:id="16"/>
      <w:bookmarkEnd w:id="17"/>
      <w:bookmarkEnd w:id="18"/>
    </w:p>
    <w:tbl>
      <w:tblPr>
        <w:tblStyle w:val="26"/>
        <w:tblW w:w="0" w:type="auto"/>
        <w:jc w:val="center"/>
        <w:tblLayout w:type="fixed"/>
        <w:tblCellMar>
          <w:top w:w="0" w:type="dxa"/>
          <w:left w:w="108" w:type="dxa"/>
          <w:bottom w:w="0" w:type="dxa"/>
          <w:right w:w="108" w:type="dxa"/>
        </w:tblCellMar>
      </w:tblPr>
      <w:tblGrid>
        <w:gridCol w:w="8748"/>
      </w:tblGrid>
      <w:tr>
        <w:tblPrEx>
          <w:tblCellMar>
            <w:top w:w="0" w:type="dxa"/>
            <w:left w:w="108" w:type="dxa"/>
            <w:bottom w:w="0" w:type="dxa"/>
            <w:right w:w="108" w:type="dxa"/>
          </w:tblCellMar>
        </w:tblPrEx>
        <w:trPr>
          <w:trHeight w:val="20" w:hRule="atLeast"/>
          <w:jc w:val="center"/>
        </w:trPr>
        <w:tc>
          <w:tcPr>
            <w:tcW w:w="8748" w:type="dxa"/>
            <w:tcBorders>
              <w:top w:val="single" w:color="auto" w:sz="4" w:space="0"/>
              <w:left w:val="single" w:color="auto" w:sz="4" w:space="0"/>
              <w:bottom w:val="single" w:color="auto" w:sz="4" w:space="0"/>
              <w:right w:val="single" w:color="auto" w:sz="4" w:space="0"/>
            </w:tcBorders>
          </w:tcPr>
          <w:p>
            <w:pPr>
              <w:spacing w:line="360" w:lineRule="auto"/>
              <w:ind w:firstLine="562" w:firstLineChars="200"/>
              <w:rPr>
                <w:rFonts w:ascii="Times New Roman" w:hAnsi="Times New Roman" w:eastAsiaTheme="minorEastAsia"/>
                <w:b/>
                <w:sz w:val="28"/>
                <w:szCs w:val="28"/>
              </w:rPr>
            </w:pPr>
            <w:r>
              <w:rPr>
                <w:rFonts w:ascii="Times New Roman" w:hAnsi="Times New Roman" w:eastAsiaTheme="minorEastAsia"/>
                <w:b/>
                <w:sz w:val="28"/>
                <w:szCs w:val="28"/>
              </w:rPr>
              <w:t>1 项目概况</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同江市桥头加油站项目，总投资</w:t>
            </w:r>
            <w:r>
              <w:rPr>
                <w:rFonts w:hint="eastAsia" w:ascii="Times New Roman" w:hAnsi="Times New Roman" w:eastAsiaTheme="minorEastAsia"/>
                <w:sz w:val="28"/>
                <w:szCs w:val="28"/>
              </w:rPr>
              <w:t>4</w:t>
            </w:r>
            <w:r>
              <w:rPr>
                <w:rFonts w:ascii="Times New Roman" w:hAnsi="Times New Roman" w:eastAsiaTheme="minorEastAsia"/>
                <w:sz w:val="28"/>
                <w:szCs w:val="28"/>
              </w:rPr>
              <w:t>00万元。本次建设内容包括：</w:t>
            </w:r>
            <w:r>
              <w:rPr>
                <w:rFonts w:hint="eastAsia" w:ascii="Times New Roman" w:hAnsi="Times New Roman" w:eastAsiaTheme="minorEastAsia"/>
                <w:sz w:val="28"/>
                <w:szCs w:val="28"/>
              </w:rPr>
              <w:t>设置本项目建设4个加油岛和4台全油品加油机，年销售柴油1000 t，汽油800 t</w:t>
            </w:r>
            <w:r>
              <w:rPr>
                <w:rFonts w:ascii="Times New Roman" w:hAnsi="Times New Roman" w:eastAsiaTheme="minorEastAsia"/>
                <w:sz w:val="28"/>
                <w:szCs w:val="28"/>
              </w:rPr>
              <w:t>。</w:t>
            </w:r>
          </w:p>
          <w:p>
            <w:pPr>
              <w:spacing w:line="360" w:lineRule="auto"/>
              <w:ind w:firstLine="562" w:firstLineChars="200"/>
              <w:rPr>
                <w:rFonts w:ascii="Times New Roman" w:hAnsi="Times New Roman" w:eastAsiaTheme="minorEastAsia"/>
                <w:b/>
                <w:sz w:val="28"/>
                <w:szCs w:val="28"/>
              </w:rPr>
            </w:pPr>
            <w:r>
              <w:rPr>
                <w:rFonts w:ascii="Times New Roman" w:hAnsi="Times New Roman" w:eastAsiaTheme="minorEastAsia"/>
                <w:b/>
                <w:sz w:val="28"/>
                <w:szCs w:val="28"/>
              </w:rPr>
              <w:t>2 环境质量现状分析结论</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（1）</w:t>
            </w:r>
            <w:r>
              <w:rPr>
                <w:rFonts w:hint="eastAsia" w:ascii="Times New Roman" w:hAnsi="Times New Roman" w:eastAsiaTheme="minorEastAsia"/>
                <w:sz w:val="28"/>
                <w:szCs w:val="28"/>
              </w:rPr>
              <w:t xml:space="preserve"> 评价区域为环境空气质量达标区。根据补充监测数据可知，非甲烷总烃环境空气质量现状满足河北省地方标准《环境空气质量 非甲烷总烃限值》(DB13/1577-2012)中二级标准</w:t>
            </w:r>
            <w:r>
              <w:rPr>
                <w:rFonts w:ascii="Times New Roman" w:hAnsi="Times New Roman" w:eastAsiaTheme="minorEastAsia"/>
                <w:sz w:val="28"/>
                <w:szCs w:val="28"/>
              </w:rPr>
              <w:t>。</w:t>
            </w:r>
          </w:p>
          <w:p>
            <w:pPr>
              <w:spacing w:line="360" w:lineRule="auto"/>
              <w:ind w:firstLine="560" w:firstLineChars="200"/>
              <w:rPr>
                <w:sz w:val="28"/>
                <w:szCs w:val="28"/>
              </w:rPr>
            </w:pPr>
            <w:r>
              <w:rPr>
                <w:rFonts w:ascii="Times New Roman" w:hAnsi="Times New Roman" w:eastAsiaTheme="minorEastAsia"/>
                <w:sz w:val="28"/>
                <w:szCs w:val="28"/>
              </w:rPr>
              <w:t>（2）</w:t>
            </w:r>
            <w:r>
              <w:rPr>
                <w:rFonts w:hint="eastAsia" w:ascii="Times New Roman" w:hAnsi="Times New Roman" w:eastAsiaTheme="minorEastAsia"/>
                <w:sz w:val="28"/>
                <w:szCs w:val="28"/>
              </w:rPr>
              <w:t xml:space="preserve"> 黑龙江水体满足《地表水环境质量标准》（GB3838-2002）</w:t>
            </w:r>
            <w:r>
              <w:rPr>
                <w:rFonts w:hint="eastAsia" w:asciiTheme="minorEastAsia" w:hAnsiTheme="minorEastAsia" w:eastAsiaTheme="minorEastAsia"/>
                <w:sz w:val="28"/>
                <w:szCs w:val="28"/>
              </w:rPr>
              <w:t>Ⅲ</w:t>
            </w:r>
            <w:r>
              <w:rPr>
                <w:rFonts w:hint="eastAsia" w:ascii="Times New Roman" w:hAnsi="Times New Roman" w:eastAsiaTheme="minorEastAsia"/>
                <w:sz w:val="28"/>
                <w:szCs w:val="28"/>
              </w:rPr>
              <w:t>类标准要求，该河段水质达到</w:t>
            </w:r>
            <w:r>
              <w:rPr>
                <w:rFonts w:hint="eastAsia" w:ascii="宋体" w:hAnsi="宋体" w:cs="宋体"/>
                <w:sz w:val="28"/>
                <w:szCs w:val="28"/>
              </w:rPr>
              <w:t>Ⅲ</w:t>
            </w:r>
            <w:r>
              <w:rPr>
                <w:sz w:val="28"/>
                <w:szCs w:val="28"/>
              </w:rPr>
              <w:t>类</w:t>
            </w:r>
            <w:r>
              <w:rPr>
                <w:rFonts w:hint="eastAsia" w:ascii="Times New Roman" w:hAnsi="Times New Roman" w:eastAsiaTheme="minorEastAsia"/>
                <w:sz w:val="28"/>
                <w:szCs w:val="28"/>
              </w:rPr>
              <w:t>功能区规划</w:t>
            </w:r>
            <w:r>
              <w:rPr>
                <w:rFonts w:hint="eastAsia"/>
                <w:sz w:val="28"/>
                <w:szCs w:val="28"/>
              </w:rPr>
              <w:t>目标要求</w:t>
            </w:r>
            <w:r>
              <w:rPr>
                <w:rFonts w:hint="eastAsia" w:ascii="Times New Roman" w:hAnsi="Times New Roman" w:eastAsiaTheme="minorEastAsia"/>
                <w:sz w:val="28"/>
                <w:szCs w:val="28"/>
              </w:rPr>
              <w:t>。</w:t>
            </w:r>
          </w:p>
          <w:p>
            <w:pPr>
              <w:adjustRightInd w:val="0"/>
              <w:snapToGrid w:val="0"/>
              <w:spacing w:line="360" w:lineRule="auto"/>
              <w:ind w:firstLine="560" w:firstLineChars="200"/>
              <w:textAlignment w:val="center"/>
              <w:rPr>
                <w:rFonts w:ascii="宋体" w:hAnsi="宋体"/>
                <w:sz w:val="28"/>
                <w:szCs w:val="28"/>
              </w:rPr>
            </w:pPr>
            <w:r>
              <w:rPr>
                <w:rFonts w:ascii="Times New Roman" w:hAnsi="Times New Roman" w:eastAsiaTheme="minorEastAsia"/>
                <w:sz w:val="28"/>
                <w:szCs w:val="28"/>
              </w:rPr>
              <w:t>（3）</w:t>
            </w:r>
            <w:r>
              <w:rPr>
                <w:rFonts w:hint="eastAsia" w:ascii="Times New Roman" w:hAnsi="Times New Roman" w:eastAsiaTheme="minorEastAsia"/>
                <w:sz w:val="28"/>
                <w:szCs w:val="28"/>
              </w:rPr>
              <w:t xml:space="preserve"> </w:t>
            </w:r>
            <w:r>
              <w:rPr>
                <w:rFonts w:ascii="宋体" w:hAnsi="宋体"/>
                <w:sz w:val="28"/>
                <w:szCs w:val="28"/>
              </w:rPr>
              <w:t>由地下水评价结果可知，</w:t>
            </w:r>
            <w:r>
              <w:rPr>
                <w:rFonts w:hint="eastAsia" w:ascii="宋体" w:hAnsi="宋体"/>
                <w:sz w:val="28"/>
                <w:szCs w:val="28"/>
              </w:rPr>
              <w:t>评价区内地下水水化学类型为</w:t>
            </w:r>
            <w:r>
              <w:rPr>
                <w:kern w:val="0"/>
                <w:sz w:val="28"/>
                <w:szCs w:val="28"/>
              </w:rPr>
              <w:t>HCO</w:t>
            </w:r>
            <w:r>
              <w:rPr>
                <w:kern w:val="0"/>
                <w:sz w:val="28"/>
                <w:szCs w:val="28"/>
                <w:vertAlign w:val="subscript"/>
              </w:rPr>
              <w:t>3</w:t>
            </w:r>
            <w:r>
              <w:rPr>
                <w:kern w:val="0"/>
                <w:sz w:val="28"/>
                <w:szCs w:val="28"/>
              </w:rPr>
              <w:t>+SO</w:t>
            </w:r>
            <w:r>
              <w:rPr>
                <w:kern w:val="0"/>
                <w:sz w:val="28"/>
                <w:szCs w:val="28"/>
                <w:vertAlign w:val="subscript"/>
              </w:rPr>
              <w:t>4</w:t>
            </w:r>
            <w:r>
              <w:rPr>
                <w:kern w:val="0"/>
                <w:sz w:val="28"/>
                <w:szCs w:val="28"/>
              </w:rPr>
              <w:t>+Cl</w:t>
            </w:r>
            <w:r>
              <w:rPr>
                <w:rFonts w:hint="eastAsia"/>
                <w:sz w:val="28"/>
                <w:szCs w:val="28"/>
              </w:rPr>
              <w:t xml:space="preserve"> -Ca</w:t>
            </w:r>
            <w:r>
              <w:rPr>
                <w:rFonts w:hint="eastAsia"/>
                <w:sz w:val="28"/>
                <w:szCs w:val="28"/>
                <w:vertAlign w:val="superscript"/>
              </w:rPr>
              <w:t>2+</w:t>
            </w:r>
            <w:r>
              <w:rPr>
                <w:rFonts w:hint="eastAsia"/>
                <w:sz w:val="28"/>
                <w:szCs w:val="28"/>
              </w:rPr>
              <w:t>型</w:t>
            </w:r>
            <w:r>
              <w:rPr>
                <w:rFonts w:hint="eastAsia" w:ascii="宋体" w:hAnsi="宋体"/>
                <w:sz w:val="28"/>
                <w:szCs w:val="28"/>
              </w:rPr>
              <w:t>；地下水环境质量现状监测点位1#、2#和3#地下水环境质量现状监测浓度，除了铁超标（原生地质问题），</w:t>
            </w:r>
            <w:r>
              <w:rPr>
                <w:rFonts w:ascii="宋体" w:hAnsi="宋体"/>
                <w:sz w:val="28"/>
                <w:szCs w:val="28"/>
              </w:rPr>
              <w:t>均满足《地下水质量标准》（GB/T14848-2017）中</w:t>
            </w:r>
            <w:r>
              <w:rPr>
                <w:rFonts w:hint="eastAsia" w:ascii="宋体" w:hAnsi="宋体" w:cs="宋体"/>
                <w:sz w:val="28"/>
                <w:szCs w:val="28"/>
              </w:rPr>
              <w:t>Ⅲ</w:t>
            </w:r>
            <w:r>
              <w:rPr>
                <w:rFonts w:ascii="宋体" w:hAnsi="宋体"/>
                <w:sz w:val="28"/>
                <w:szCs w:val="28"/>
              </w:rPr>
              <w:t>类标准。</w:t>
            </w:r>
            <w:r>
              <w:rPr>
                <w:rFonts w:hint="eastAsia" w:ascii="宋体" w:hAnsi="宋体"/>
                <w:sz w:val="28"/>
                <w:szCs w:val="28"/>
              </w:rPr>
              <w:t>石油类满足《地表水环境质量标准》（GB3838-2002）Ⅲ类标准。</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（4） 项目所在区域的声环境质量现状符合《声环境质量标准》（GB3096-2008）</w:t>
            </w:r>
            <w:r>
              <w:rPr>
                <w:rFonts w:hint="eastAsia" w:ascii="Times New Roman" w:hAnsi="Times New Roman" w:eastAsiaTheme="minorEastAsia"/>
                <w:sz w:val="28"/>
                <w:szCs w:val="28"/>
              </w:rPr>
              <w:t>2类、4a类</w:t>
            </w:r>
            <w:r>
              <w:rPr>
                <w:rFonts w:ascii="Times New Roman" w:hAnsi="Times New Roman" w:eastAsiaTheme="minorEastAsia"/>
                <w:sz w:val="28"/>
                <w:szCs w:val="28"/>
              </w:rPr>
              <w:t>标准。</w:t>
            </w:r>
          </w:p>
          <w:p>
            <w:pPr>
              <w:spacing w:line="360" w:lineRule="auto"/>
              <w:ind w:firstLine="562" w:firstLineChars="200"/>
              <w:jc w:val="left"/>
              <w:rPr>
                <w:rFonts w:ascii="Times New Roman" w:hAnsi="Times New Roman" w:eastAsiaTheme="minorEastAsia"/>
                <w:b/>
                <w:sz w:val="28"/>
                <w:szCs w:val="28"/>
              </w:rPr>
            </w:pPr>
            <w:r>
              <w:rPr>
                <w:rFonts w:ascii="Times New Roman" w:hAnsi="Times New Roman" w:eastAsiaTheme="minorEastAsia"/>
                <w:b/>
                <w:sz w:val="28"/>
                <w:szCs w:val="28"/>
              </w:rPr>
              <w:t>3 环境影响分析结论</w:t>
            </w:r>
          </w:p>
          <w:p>
            <w:pPr>
              <w:spacing w:line="360" w:lineRule="auto"/>
              <w:ind w:firstLine="582" w:firstLineChars="208"/>
              <w:rPr>
                <w:rFonts w:ascii="Times New Roman" w:hAnsi="Times New Roman" w:eastAsiaTheme="minorEastAsia"/>
                <w:sz w:val="28"/>
                <w:szCs w:val="28"/>
              </w:rPr>
            </w:pPr>
            <w:r>
              <w:rPr>
                <w:rFonts w:ascii="Times New Roman" w:hAnsi="Times New Roman" w:eastAsiaTheme="minorEastAsia"/>
                <w:sz w:val="28"/>
                <w:szCs w:val="28"/>
              </w:rPr>
              <w:t>（1）环境空气影响分析</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项目位于环境质量不达标区，评价范围内无一类区。大气环境影响评价结果如下：</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① 新增污染物正常排放下非甲烷总烃短期浓度贡献值最大浓度占标率均小于100%；</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② 非正常工况下，非甲烷总烃短期浓度贡献值最大浓度占标率最大</w:t>
            </w:r>
            <w:r>
              <w:rPr>
                <w:rFonts w:ascii="Times New Roman" w:hAnsi="Times New Roman" w:eastAsiaTheme="minorEastAsia"/>
                <w:sz w:val="28"/>
                <w:szCs w:val="28"/>
              </w:rPr>
              <w:t>45.02</w:t>
            </w:r>
            <w:r>
              <w:rPr>
                <w:rFonts w:hint="eastAsia" w:ascii="Times New Roman" w:hAnsi="Times New Roman" w:eastAsiaTheme="minorEastAsia"/>
                <w:sz w:val="28"/>
                <w:szCs w:val="28"/>
              </w:rPr>
              <w:t>%。应立即停车检修。</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③ 本项目不设置大气环境防护距离。</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综上所述，本项目建成后，大气环境影响可接受，项目大气污染物排放方案可行。</w:t>
            </w:r>
          </w:p>
          <w:p>
            <w:pPr>
              <w:spacing w:line="360" w:lineRule="auto"/>
              <w:ind w:firstLine="582" w:firstLineChars="208"/>
              <w:rPr>
                <w:rFonts w:ascii="Times New Roman" w:hAnsi="Times New Roman" w:eastAsiaTheme="minorEastAsia"/>
                <w:sz w:val="28"/>
                <w:szCs w:val="28"/>
              </w:rPr>
            </w:pPr>
            <w:r>
              <w:rPr>
                <w:rFonts w:ascii="Times New Roman" w:hAnsi="Times New Roman" w:eastAsiaTheme="minorEastAsia"/>
                <w:sz w:val="28"/>
                <w:szCs w:val="28"/>
              </w:rPr>
              <w:t>（2）水环境影响分析结论</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生活污水经防渗旱厕收集后，清掏，外运堆肥，不排放到外环境。综上，项目运营期生活废水能得到综合利用，本项目废水排放不会对周围地表水环境造成影响。</w:t>
            </w:r>
          </w:p>
          <w:p>
            <w:pPr>
              <w:spacing w:line="360" w:lineRule="auto"/>
              <w:ind w:firstLine="560" w:firstLineChars="200"/>
              <w:rPr>
                <w:rFonts w:ascii="宋体" w:hAnsi="宋体" w:cs="宋体"/>
                <w:sz w:val="28"/>
                <w:szCs w:val="28"/>
              </w:rPr>
            </w:pPr>
            <w:r>
              <w:rPr>
                <w:rFonts w:ascii="宋体" w:hAnsi="宋体" w:cs="宋体"/>
                <w:sz w:val="28"/>
                <w:szCs w:val="28"/>
              </w:rPr>
              <w:t>污染物在潜水层以水平扩散为主，地下水流速缓慢</w:t>
            </w:r>
            <w:r>
              <w:rPr>
                <w:rFonts w:hint="eastAsia" w:ascii="宋体" w:hAnsi="宋体" w:cs="宋体"/>
                <w:sz w:val="28"/>
                <w:szCs w:val="28"/>
              </w:rPr>
              <w:t>，对承压水几乎无影响</w:t>
            </w:r>
            <w:r>
              <w:rPr>
                <w:rFonts w:ascii="宋体" w:hAnsi="宋体" w:cs="宋体"/>
                <w:sz w:val="28"/>
                <w:szCs w:val="28"/>
              </w:rPr>
              <w:t>；</w:t>
            </w:r>
            <w:r>
              <w:rPr>
                <w:rFonts w:hint="eastAsia" w:ascii="宋体" w:hAnsi="宋体" w:cs="宋体"/>
                <w:sz w:val="28"/>
                <w:szCs w:val="28"/>
              </w:rPr>
              <w:t>储油罐</w:t>
            </w:r>
            <w:r>
              <w:rPr>
                <w:rFonts w:ascii="宋体" w:hAnsi="宋体" w:cs="宋体"/>
                <w:sz w:val="28"/>
                <w:szCs w:val="28"/>
              </w:rPr>
              <w:t>年久失修导致泄漏，100d污染物（</w:t>
            </w:r>
            <w:r>
              <w:rPr>
                <w:rFonts w:hint="eastAsia" w:ascii="宋体" w:hAnsi="宋体" w:cs="宋体"/>
                <w:sz w:val="28"/>
                <w:szCs w:val="28"/>
              </w:rPr>
              <w:t>石油类</w:t>
            </w:r>
            <w:r>
              <w:rPr>
                <w:rFonts w:ascii="宋体" w:hAnsi="宋体" w:cs="宋体"/>
                <w:sz w:val="28"/>
                <w:szCs w:val="28"/>
              </w:rPr>
              <w:t>）</w:t>
            </w:r>
            <w:r>
              <w:rPr>
                <w:rFonts w:hint="eastAsia" w:ascii="宋体" w:hAnsi="宋体" w:cs="宋体"/>
                <w:sz w:val="28"/>
                <w:szCs w:val="28"/>
              </w:rPr>
              <w:t>扩散达标距离为16 m</w:t>
            </w:r>
            <w:r>
              <w:rPr>
                <w:rFonts w:ascii="宋体" w:hAnsi="宋体" w:cs="宋体"/>
                <w:sz w:val="28"/>
                <w:szCs w:val="28"/>
              </w:rPr>
              <w:t>，1000d污染物（</w:t>
            </w:r>
            <w:r>
              <w:rPr>
                <w:rFonts w:hint="eastAsia" w:ascii="宋体" w:hAnsi="宋体" w:cs="宋体"/>
                <w:sz w:val="28"/>
                <w:szCs w:val="28"/>
              </w:rPr>
              <w:t>石油类</w:t>
            </w:r>
            <w:r>
              <w:rPr>
                <w:rFonts w:ascii="宋体" w:hAnsi="宋体" w:cs="宋体"/>
                <w:sz w:val="28"/>
                <w:szCs w:val="28"/>
              </w:rPr>
              <w:t>）</w:t>
            </w:r>
            <w:r>
              <w:rPr>
                <w:rFonts w:hint="eastAsia" w:ascii="宋体" w:hAnsi="宋体" w:cs="宋体"/>
                <w:sz w:val="28"/>
                <w:szCs w:val="28"/>
              </w:rPr>
              <w:t xml:space="preserve">扩散达标距离为51 </w:t>
            </w:r>
            <w:r>
              <w:rPr>
                <w:rFonts w:ascii="宋体" w:hAnsi="宋体" w:cs="宋体"/>
                <w:sz w:val="28"/>
                <w:szCs w:val="28"/>
              </w:rPr>
              <w:t>m</w:t>
            </w:r>
            <w:r>
              <w:rPr>
                <w:rFonts w:hint="eastAsia" w:ascii="宋体" w:hAnsi="宋体" w:cs="宋体"/>
                <w:sz w:val="28"/>
                <w:szCs w:val="28"/>
              </w:rPr>
              <w:t>，30a污染物（石油类）扩散达标距离为183m</w:t>
            </w:r>
            <w:r>
              <w:rPr>
                <w:rFonts w:ascii="宋体" w:hAnsi="宋体" w:cs="宋体"/>
                <w:sz w:val="28"/>
                <w:szCs w:val="28"/>
              </w:rPr>
              <w:t>。</w:t>
            </w:r>
          </w:p>
          <w:p>
            <w:pPr>
              <w:spacing w:line="360" w:lineRule="auto"/>
              <w:ind w:firstLine="560" w:firstLineChars="200"/>
              <w:rPr>
                <w:rFonts w:ascii="宋体" w:hAnsi="宋体" w:cs="宋体"/>
                <w:sz w:val="28"/>
                <w:szCs w:val="28"/>
              </w:rPr>
            </w:pPr>
            <w:r>
              <w:rPr>
                <w:rFonts w:ascii="宋体" w:hAnsi="宋体" w:cs="宋体"/>
                <w:sz w:val="28"/>
                <w:szCs w:val="28"/>
              </w:rPr>
              <w:t>通过现状调查，项目区周边</w:t>
            </w:r>
            <w:r>
              <w:rPr>
                <w:rFonts w:hint="eastAsia" w:ascii="宋体" w:hAnsi="宋体" w:cs="宋体"/>
                <w:sz w:val="28"/>
                <w:szCs w:val="28"/>
              </w:rPr>
              <w:t>无</w:t>
            </w:r>
            <w:r>
              <w:rPr>
                <w:rFonts w:ascii="宋体" w:hAnsi="宋体" w:cs="宋体"/>
                <w:sz w:val="28"/>
                <w:szCs w:val="28"/>
              </w:rPr>
              <w:t>生活小区</w:t>
            </w:r>
            <w:r>
              <w:rPr>
                <w:rFonts w:hint="eastAsia" w:ascii="宋体" w:hAnsi="宋体" w:cs="宋体"/>
                <w:sz w:val="28"/>
                <w:szCs w:val="28"/>
              </w:rPr>
              <w:t>，扩散时地下水超标范围内无地下水敏感保护目标</w:t>
            </w:r>
            <w:r>
              <w:rPr>
                <w:rFonts w:ascii="宋体" w:hAnsi="宋体" w:cs="宋体"/>
                <w:sz w:val="28"/>
                <w:szCs w:val="28"/>
              </w:rPr>
              <w:t>，项目建设对周边</w:t>
            </w:r>
            <w:r>
              <w:rPr>
                <w:rFonts w:hint="eastAsia" w:ascii="宋体" w:hAnsi="宋体" w:cs="宋体"/>
                <w:sz w:val="28"/>
                <w:szCs w:val="28"/>
              </w:rPr>
              <w:t>村屯</w:t>
            </w:r>
            <w:r>
              <w:rPr>
                <w:rFonts w:ascii="宋体" w:hAnsi="宋体" w:cs="宋体"/>
                <w:sz w:val="28"/>
                <w:szCs w:val="28"/>
              </w:rPr>
              <w:t>生活用水不造成影响，因此项目建设对区域地下水环境</w:t>
            </w:r>
            <w:r>
              <w:rPr>
                <w:rFonts w:hint="eastAsia" w:ascii="宋体" w:hAnsi="宋体" w:cs="宋体"/>
                <w:sz w:val="28"/>
                <w:szCs w:val="28"/>
              </w:rPr>
              <w:t>有影响，但是</w:t>
            </w:r>
            <w:r>
              <w:rPr>
                <w:rFonts w:ascii="宋体" w:hAnsi="宋体" w:cs="宋体"/>
                <w:sz w:val="28"/>
                <w:szCs w:val="28"/>
              </w:rPr>
              <w:t>影响较小。</w:t>
            </w:r>
          </w:p>
          <w:p>
            <w:pPr>
              <w:spacing w:line="360" w:lineRule="auto"/>
              <w:ind w:firstLine="582" w:firstLineChars="208"/>
              <w:rPr>
                <w:rFonts w:ascii="Times New Roman" w:hAnsi="Times New Roman" w:eastAsiaTheme="minorEastAsia"/>
                <w:sz w:val="28"/>
                <w:szCs w:val="28"/>
              </w:rPr>
            </w:pPr>
            <w:r>
              <w:rPr>
                <w:rFonts w:ascii="Times New Roman" w:hAnsi="Times New Roman" w:eastAsiaTheme="minorEastAsia"/>
                <w:sz w:val="28"/>
                <w:szCs w:val="28"/>
              </w:rPr>
              <w:t>（3）声环境影响分析结论</w:t>
            </w:r>
          </w:p>
          <w:p>
            <w:pPr>
              <w:autoSpaceDE w:val="0"/>
              <w:autoSpaceDN w:val="0"/>
              <w:adjustRightInd w:val="0"/>
              <w:spacing w:line="360" w:lineRule="auto"/>
              <w:ind w:firstLine="560" w:firstLineChars="200"/>
              <w:rPr>
                <w:rFonts w:ascii="Times New Roman" w:hAnsi="Times New Roman" w:eastAsiaTheme="minorEastAsia"/>
                <w:sz w:val="28"/>
                <w:szCs w:val="24"/>
                <w:lang w:val="zh-CN"/>
              </w:rPr>
            </w:pPr>
            <w:r>
              <w:rPr>
                <w:rFonts w:ascii="Times New Roman" w:hAnsi="Times New Roman" w:eastAsiaTheme="minorEastAsia"/>
                <w:sz w:val="28"/>
                <w:szCs w:val="24"/>
                <w:lang w:val="zh-CN"/>
              </w:rPr>
              <w:t>车辆进出站区加油，行驶速度要比在</w:t>
            </w:r>
            <w:r>
              <w:rPr>
                <w:rFonts w:hint="eastAsia" w:ascii="Times New Roman" w:hAnsi="Times New Roman" w:eastAsiaTheme="minorEastAsia"/>
                <w:sz w:val="28"/>
                <w:szCs w:val="24"/>
                <w:lang w:val="zh-CN"/>
              </w:rPr>
              <w:t>公</w:t>
            </w:r>
            <w:r>
              <w:rPr>
                <w:rFonts w:ascii="Times New Roman" w:hAnsi="Times New Roman" w:eastAsiaTheme="minorEastAsia"/>
                <w:sz w:val="28"/>
                <w:szCs w:val="24"/>
                <w:lang w:val="zh-CN"/>
              </w:rPr>
              <w:t>路上行驶的速度慢很多，因此交通噪声对周围环境的影响较小。通过采取以上措施，加油站</w:t>
            </w:r>
            <w:r>
              <w:rPr>
                <w:rFonts w:hint="eastAsia" w:ascii="Times New Roman" w:hAnsi="Times New Roman" w:eastAsiaTheme="minorEastAsia"/>
                <w:sz w:val="28"/>
                <w:szCs w:val="24"/>
                <w:lang w:val="zh-CN"/>
              </w:rPr>
              <w:t>北</w:t>
            </w:r>
            <w:r>
              <w:rPr>
                <w:rFonts w:ascii="Times New Roman" w:hAnsi="Times New Roman" w:eastAsiaTheme="minorEastAsia"/>
                <w:sz w:val="28"/>
                <w:szCs w:val="24"/>
                <w:lang w:val="zh-CN"/>
              </w:rPr>
              <w:t>侧厂界符合《工业企业厂界环境噪声排放标准》(GB12348-2008)中4类标准，其余厂界噪声符合《工业企业厂界环境噪声排放标准》(GB12348-2008)中</w:t>
            </w:r>
            <w:r>
              <w:rPr>
                <w:rFonts w:hint="eastAsia" w:ascii="Times New Roman" w:hAnsi="Times New Roman" w:eastAsiaTheme="minorEastAsia"/>
                <w:sz w:val="28"/>
                <w:szCs w:val="24"/>
                <w:lang w:val="zh-CN"/>
              </w:rPr>
              <w:t>2类</w:t>
            </w:r>
            <w:r>
              <w:rPr>
                <w:rFonts w:ascii="Times New Roman" w:hAnsi="Times New Roman" w:eastAsiaTheme="minorEastAsia"/>
                <w:sz w:val="28"/>
                <w:szCs w:val="24"/>
                <w:lang w:val="zh-CN"/>
              </w:rPr>
              <w:t>标准。</w:t>
            </w:r>
          </w:p>
          <w:p>
            <w:pPr>
              <w:spacing w:line="360" w:lineRule="auto"/>
              <w:ind w:firstLine="560" w:firstLineChars="200"/>
              <w:rPr>
                <w:rFonts w:ascii="Times New Roman" w:hAnsi="Times New Roman" w:eastAsiaTheme="minorEastAsia"/>
                <w:sz w:val="28"/>
                <w:szCs w:val="28"/>
              </w:rPr>
            </w:pPr>
            <w:r>
              <w:rPr>
                <w:rFonts w:ascii="Times New Roman" w:hAnsi="Times New Roman" w:eastAsiaTheme="minorEastAsia"/>
                <w:sz w:val="28"/>
                <w:szCs w:val="28"/>
              </w:rPr>
              <w:t>（4）固体废物影响评价结论</w:t>
            </w:r>
          </w:p>
          <w:p>
            <w:pPr>
              <w:spacing w:line="360" w:lineRule="auto"/>
              <w:ind w:firstLine="560" w:firstLineChars="200"/>
              <w:rPr>
                <w:rFonts w:ascii="宋体" w:hAnsi="宋体" w:cs="宋体"/>
                <w:sz w:val="28"/>
                <w:szCs w:val="28"/>
              </w:rPr>
            </w:pPr>
            <w:r>
              <w:rPr>
                <w:rFonts w:hint="eastAsia" w:ascii="宋体" w:hAnsi="宋体" w:cs="宋体"/>
                <w:sz w:val="28"/>
                <w:szCs w:val="28"/>
              </w:rPr>
              <w:t>生活垃圾集中收集，由市政部门统一清运处置；油罐油泥（类别为HW08，代码为900-221-08）定期由有资质单位回收处理，站内不存储。废油脂委托环境卫生管理机构收集运输，无害化处置。</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由上可知，</w:t>
            </w:r>
            <w:r>
              <w:rPr>
                <w:rFonts w:ascii="Times New Roman" w:hAnsi="Times New Roman" w:eastAsiaTheme="minorEastAsia"/>
                <w:sz w:val="28"/>
                <w:szCs w:val="28"/>
              </w:rPr>
              <w:t>本项目固体废物处置合理，对外环境影响较小。</w:t>
            </w:r>
          </w:p>
          <w:p>
            <w:pPr>
              <w:spacing w:line="360" w:lineRule="auto"/>
              <w:ind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（5） 土壤环境影响评价结论</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本项目属于“Ⅲ类项目”，占地规模属于“小型”，环境敏感程度为“不敏感”，根据工作等级分级表识别，本项目可不进行土壤环境影响评价。</w:t>
            </w:r>
          </w:p>
          <w:p>
            <w:pPr>
              <w:spacing w:line="360" w:lineRule="auto"/>
              <w:ind w:firstLine="560" w:firstLineChars="200"/>
              <w:rPr>
                <w:rFonts w:ascii="Times New Roman" w:hAnsi="Times New Roman"/>
                <w:sz w:val="28"/>
                <w:szCs w:val="28"/>
              </w:rPr>
            </w:pPr>
            <w:r>
              <w:rPr>
                <w:rFonts w:ascii="Times New Roman" w:hAnsi="Times New Roman"/>
                <w:sz w:val="28"/>
                <w:szCs w:val="28"/>
              </w:rPr>
              <w:t>（</w:t>
            </w:r>
            <w:r>
              <w:rPr>
                <w:rFonts w:hint="eastAsia" w:ascii="Times New Roman" w:hAnsi="Times New Roman"/>
                <w:sz w:val="28"/>
                <w:szCs w:val="28"/>
              </w:rPr>
              <w:t>6</w:t>
            </w:r>
            <w:r>
              <w:rPr>
                <w:rFonts w:ascii="Times New Roman" w:hAnsi="Times New Roman"/>
                <w:sz w:val="28"/>
                <w:szCs w:val="28"/>
              </w:rPr>
              <w:t>）环境风险</w:t>
            </w:r>
            <w:r>
              <w:rPr>
                <w:rFonts w:hint="eastAsia" w:ascii="Times New Roman" w:hAnsi="Times New Roman"/>
                <w:sz w:val="28"/>
                <w:szCs w:val="28"/>
              </w:rPr>
              <w:t>评价结论</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根据《建设项目环境风险评价技术导则》（HJ/T169-2018）附录B对项目储存物料的临界量，项目风险潜势为I，评价工作等级为“简单分析”。建设单位在采取相应风险防范措施以及制定应急预案之后，环境风险水平可接受。</w:t>
            </w:r>
          </w:p>
          <w:p>
            <w:pPr>
              <w:spacing w:line="360" w:lineRule="auto"/>
              <w:ind w:firstLine="562" w:firstLineChars="200"/>
              <w:jc w:val="left"/>
              <w:rPr>
                <w:rFonts w:ascii="Times New Roman" w:hAnsi="Times New Roman" w:eastAsiaTheme="minorEastAsia"/>
                <w:b/>
                <w:sz w:val="28"/>
                <w:szCs w:val="28"/>
              </w:rPr>
            </w:pPr>
            <w:r>
              <w:rPr>
                <w:rFonts w:hint="eastAsia" w:ascii="Times New Roman" w:hAnsi="Times New Roman" w:eastAsiaTheme="minorEastAsia"/>
                <w:b/>
                <w:sz w:val="28"/>
                <w:szCs w:val="28"/>
              </w:rPr>
              <w:t>4 总量控制</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本项目非甲烷总烃排放量为</w:t>
            </w:r>
            <w:r>
              <w:rPr>
                <w:rFonts w:ascii="Times New Roman" w:hAnsi="Times New Roman"/>
                <w:sz w:val="28"/>
                <w:szCs w:val="28"/>
              </w:rPr>
              <w:t>468.55 kg/a</w:t>
            </w:r>
            <w:r>
              <w:rPr>
                <w:rFonts w:hint="eastAsia" w:ascii="Times New Roman" w:hAnsi="Times New Roman"/>
                <w:sz w:val="28"/>
                <w:szCs w:val="28"/>
              </w:rPr>
              <w:t>。</w:t>
            </w:r>
          </w:p>
          <w:p>
            <w:pPr>
              <w:spacing w:line="360" w:lineRule="auto"/>
              <w:ind w:firstLine="562" w:firstLineChars="200"/>
              <w:jc w:val="left"/>
              <w:rPr>
                <w:rFonts w:ascii="Times New Roman" w:hAnsi="Times New Roman" w:eastAsiaTheme="minorEastAsia"/>
                <w:b/>
                <w:sz w:val="28"/>
                <w:szCs w:val="28"/>
              </w:rPr>
            </w:pPr>
            <w:r>
              <w:rPr>
                <w:rFonts w:ascii="Times New Roman" w:hAnsi="Times New Roman" w:eastAsiaTheme="minorEastAsia"/>
                <w:b/>
                <w:bCs/>
                <w:sz w:val="28"/>
                <w:szCs w:val="28"/>
              </w:rPr>
              <w:t>综上所述，</w:t>
            </w:r>
            <w:r>
              <w:rPr>
                <w:rFonts w:ascii="Times New Roman" w:hAnsi="Times New Roman" w:eastAsiaTheme="minorEastAsia"/>
                <w:b/>
                <w:sz w:val="28"/>
                <w:szCs w:val="28"/>
              </w:rPr>
              <w:t>在保证污染防治措施、事故风险防范措施和应急预案有效实施的基础上，从环境保护的角度分析，本评价认为该项目的建设是可行的。</w:t>
            </w:r>
          </w:p>
          <w:p>
            <w:pPr>
              <w:spacing w:line="360" w:lineRule="auto"/>
              <w:ind w:firstLine="613" w:firstLineChars="218"/>
              <w:rPr>
                <w:rFonts w:ascii="Times New Roman" w:hAnsi="Times New Roman" w:eastAsiaTheme="minorEastAsia"/>
                <w:b/>
                <w:sz w:val="28"/>
                <w:szCs w:val="28"/>
              </w:rPr>
            </w:pPr>
            <w:r>
              <w:rPr>
                <w:rFonts w:hint="eastAsia" w:ascii="Times New Roman" w:hAnsi="Times New Roman" w:eastAsiaTheme="minorEastAsia"/>
                <w:b/>
                <w:sz w:val="28"/>
                <w:szCs w:val="28"/>
              </w:rPr>
              <w:t xml:space="preserve">5 </w:t>
            </w:r>
            <w:r>
              <w:rPr>
                <w:rFonts w:ascii="Times New Roman" w:hAnsi="Times New Roman" w:eastAsiaTheme="minorEastAsia"/>
                <w:b/>
                <w:sz w:val="28"/>
                <w:szCs w:val="28"/>
              </w:rPr>
              <w:t>环境管理建议</w:t>
            </w:r>
          </w:p>
          <w:p>
            <w:pPr>
              <w:pStyle w:val="11"/>
              <w:spacing w:after="0" w:line="360" w:lineRule="auto"/>
              <w:ind w:left="0" w:leftChars="0" w:firstLine="593" w:firstLineChars="212"/>
              <w:rPr>
                <w:rFonts w:ascii="Times New Roman" w:hAnsi="Times New Roman" w:eastAsiaTheme="minorEastAsia"/>
                <w:sz w:val="28"/>
                <w:szCs w:val="28"/>
              </w:rPr>
            </w:pPr>
            <w:r>
              <w:rPr>
                <w:rFonts w:hint="eastAsia" w:ascii="Times New Roman" w:hAnsi="Times New Roman" w:eastAsiaTheme="minorEastAsia"/>
                <w:sz w:val="28"/>
                <w:szCs w:val="28"/>
              </w:rPr>
              <w:t>（1）</w:t>
            </w:r>
            <w:r>
              <w:rPr>
                <w:rFonts w:ascii="Times New Roman" w:hAnsi="Times New Roman" w:eastAsiaTheme="minorEastAsia"/>
                <w:sz w:val="28"/>
                <w:szCs w:val="28"/>
              </w:rPr>
              <w:t xml:space="preserve"> 由于汽油、柴油属易燃物质，因此必须严格加强管理，杜绝储油罐、管线的跑、冒、漏现象发生。</w:t>
            </w:r>
          </w:p>
          <w:p>
            <w:pPr>
              <w:pStyle w:val="11"/>
              <w:spacing w:after="0" w:line="360" w:lineRule="auto"/>
              <w:ind w:left="0" w:leftChars="0" w:firstLine="593" w:firstLineChars="212"/>
              <w:rPr>
                <w:rFonts w:ascii="Times New Roman" w:hAnsi="Times New Roman" w:eastAsiaTheme="minorEastAsia"/>
                <w:sz w:val="28"/>
                <w:szCs w:val="28"/>
              </w:rPr>
            </w:pPr>
            <w:r>
              <w:rPr>
                <w:rFonts w:hint="eastAsia" w:ascii="Times New Roman" w:hAnsi="Times New Roman" w:eastAsiaTheme="minorEastAsia"/>
                <w:sz w:val="28"/>
                <w:szCs w:val="28"/>
              </w:rPr>
              <w:t xml:space="preserve">（2） </w:t>
            </w:r>
            <w:r>
              <w:rPr>
                <w:rFonts w:ascii="Times New Roman" w:hAnsi="Times New Roman" w:eastAsiaTheme="minorEastAsia"/>
                <w:sz w:val="28"/>
                <w:szCs w:val="28"/>
              </w:rPr>
              <w:t>加油站的设计严格按照相关的设计规范进行。运营时期必须严格按操作进行。</w:t>
            </w:r>
          </w:p>
          <w:p>
            <w:pPr>
              <w:pStyle w:val="11"/>
              <w:spacing w:after="0" w:line="360" w:lineRule="auto"/>
              <w:ind w:left="0" w:leftChars="0" w:firstLine="593" w:firstLineChars="212"/>
              <w:rPr>
                <w:rFonts w:ascii="Times New Roman" w:hAnsi="Times New Roman" w:eastAsiaTheme="minorEastAsia"/>
                <w:sz w:val="28"/>
                <w:szCs w:val="28"/>
              </w:rPr>
            </w:pPr>
            <w:r>
              <w:rPr>
                <w:rFonts w:hint="eastAsia" w:ascii="Times New Roman" w:hAnsi="Times New Roman" w:eastAsiaTheme="minorEastAsia"/>
                <w:sz w:val="28"/>
                <w:szCs w:val="28"/>
              </w:rPr>
              <w:t xml:space="preserve">（3） </w:t>
            </w:r>
            <w:r>
              <w:rPr>
                <w:rFonts w:ascii="Times New Roman" w:hAnsi="Times New Roman" w:eastAsiaTheme="minorEastAsia"/>
                <w:sz w:val="28"/>
                <w:szCs w:val="28"/>
              </w:rPr>
              <w:t>加油站需设专职安全消防人员，经常检查地下储罐区、加油区等易发生事故区，将事故隐患减小到最低点，定期检查消防设备，保证设备的安全可靠性。</w:t>
            </w:r>
          </w:p>
          <w:p>
            <w:pPr>
              <w:pStyle w:val="11"/>
              <w:spacing w:after="0" w:line="360" w:lineRule="auto"/>
              <w:ind w:left="0" w:leftChars="0"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 xml:space="preserve">（4） </w:t>
            </w:r>
            <w:r>
              <w:rPr>
                <w:rFonts w:ascii="Times New Roman" w:hAnsi="Times New Roman" w:eastAsiaTheme="minorEastAsia"/>
                <w:sz w:val="28"/>
                <w:szCs w:val="28"/>
              </w:rPr>
              <w:t>加强职工上岗培训制度，提高安全防范意识。</w:t>
            </w:r>
          </w:p>
          <w:p>
            <w:pPr>
              <w:pStyle w:val="11"/>
              <w:spacing w:after="0" w:line="360" w:lineRule="auto"/>
              <w:ind w:left="0" w:leftChars="0" w:firstLine="560" w:firstLineChars="200"/>
              <w:rPr>
                <w:rFonts w:ascii="Times New Roman" w:hAnsi="Times New Roman" w:eastAsiaTheme="minorEastAsia"/>
                <w:sz w:val="28"/>
                <w:szCs w:val="28"/>
              </w:rPr>
            </w:pPr>
            <w:r>
              <w:rPr>
                <w:rFonts w:hint="eastAsia" w:ascii="Times New Roman" w:hAnsi="Times New Roman" w:eastAsiaTheme="minorEastAsia"/>
                <w:sz w:val="28"/>
                <w:szCs w:val="28"/>
              </w:rPr>
              <w:t xml:space="preserve">（5） </w:t>
            </w:r>
            <w:r>
              <w:rPr>
                <w:rFonts w:ascii="Times New Roman" w:hAnsi="Times New Roman" w:eastAsiaTheme="minorEastAsia"/>
                <w:sz w:val="28"/>
                <w:szCs w:val="28"/>
              </w:rPr>
              <w:t>保证绿化面积，设置专人负责厂区绿化管理工作。</w:t>
            </w:r>
          </w:p>
        </w:tc>
      </w:tr>
    </w:tbl>
    <w:p>
      <w:pPr>
        <w:spacing w:line="200" w:lineRule="exact"/>
        <w:rPr>
          <w:b/>
          <w:sz w:val="18"/>
        </w:rPr>
        <w:sectPr>
          <w:footerReference r:id="rId8" w:type="first"/>
          <w:footerReference r:id="rId6" w:type="default"/>
          <w:footerReference r:id="rId7" w:type="even"/>
          <w:pgSz w:w="11907" w:h="16840"/>
          <w:pgMar w:top="1418" w:right="1418" w:bottom="1418" w:left="1418" w:header="851" w:footer="992" w:gutter="0"/>
          <w:cols w:space="720" w:num="1"/>
          <w:docGrid w:linePitch="312" w:charSpace="0"/>
        </w:sectPr>
      </w:pPr>
    </w:p>
    <w:p>
      <w:pPr>
        <w:spacing w:line="360" w:lineRule="auto"/>
        <w:jc w:val="center"/>
        <w:rPr>
          <w:rFonts w:ascii="Times New Roman" w:hAnsi="Times New Roman"/>
          <w:b/>
          <w:sz w:val="24"/>
        </w:rPr>
      </w:pPr>
      <w:r>
        <w:rPr>
          <w:rFonts w:ascii="Times New Roman"/>
          <w:b/>
          <w:sz w:val="24"/>
        </w:rPr>
        <w:t>项目污染物排放清单及管理要求</w:t>
      </w:r>
    </w:p>
    <w:tbl>
      <w:tblPr>
        <w:tblStyle w:val="26"/>
        <w:tblW w:w="14066" w:type="dxa"/>
        <w:jc w:val="center"/>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23" w:type="dxa"/>
          <w:bottom w:w="0" w:type="dxa"/>
          <w:right w:w="23" w:type="dxa"/>
        </w:tblCellMar>
      </w:tblPr>
      <w:tblGrid>
        <w:gridCol w:w="1188"/>
        <w:gridCol w:w="567"/>
        <w:gridCol w:w="888"/>
        <w:gridCol w:w="813"/>
        <w:gridCol w:w="2977"/>
        <w:gridCol w:w="1418"/>
        <w:gridCol w:w="969"/>
        <w:gridCol w:w="2858"/>
        <w:gridCol w:w="2388"/>
      </w:tblGrid>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zCs w:val="21"/>
              </w:rPr>
            </w:pPr>
            <w:r>
              <w:rPr>
                <w:b/>
                <w:bCs/>
                <w:szCs w:val="21"/>
              </w:rPr>
              <w:t>类别</w:t>
            </w:r>
          </w:p>
        </w:tc>
        <w:tc>
          <w:tcPr>
            <w:tcW w:w="1455" w:type="dxa"/>
            <w:gridSpan w:val="2"/>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zCs w:val="21"/>
              </w:rPr>
            </w:pPr>
            <w:r>
              <w:rPr>
                <w:b/>
                <w:bCs/>
                <w:szCs w:val="21"/>
              </w:rPr>
              <w:t>项目</w:t>
            </w:r>
          </w:p>
        </w:tc>
        <w:tc>
          <w:tcPr>
            <w:tcW w:w="813" w:type="dxa"/>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zCs w:val="21"/>
              </w:rPr>
            </w:pPr>
            <w:r>
              <w:rPr>
                <w:b/>
                <w:bCs/>
                <w:szCs w:val="21"/>
              </w:rPr>
              <w:t>污染</w:t>
            </w:r>
          </w:p>
          <w:p>
            <w:pPr>
              <w:tabs>
                <w:tab w:val="left" w:pos="360"/>
              </w:tabs>
              <w:autoSpaceDE w:val="0"/>
              <w:autoSpaceDN w:val="0"/>
              <w:adjustRightInd w:val="0"/>
              <w:jc w:val="center"/>
              <w:rPr>
                <w:b/>
                <w:bCs/>
                <w:szCs w:val="21"/>
              </w:rPr>
            </w:pPr>
            <w:r>
              <w:rPr>
                <w:b/>
                <w:bCs/>
                <w:szCs w:val="21"/>
              </w:rPr>
              <w:t>因子</w:t>
            </w:r>
          </w:p>
        </w:tc>
        <w:tc>
          <w:tcPr>
            <w:tcW w:w="2977" w:type="dxa"/>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zCs w:val="21"/>
              </w:rPr>
            </w:pPr>
            <w:r>
              <w:rPr>
                <w:rFonts w:hint="eastAsia"/>
                <w:b/>
                <w:bCs/>
                <w:szCs w:val="21"/>
              </w:rPr>
              <w:t>污染防治措施</w:t>
            </w:r>
          </w:p>
        </w:tc>
        <w:tc>
          <w:tcPr>
            <w:tcW w:w="1418" w:type="dxa"/>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zCs w:val="21"/>
              </w:rPr>
            </w:pPr>
            <w:r>
              <w:rPr>
                <w:b/>
                <w:bCs/>
                <w:szCs w:val="21"/>
              </w:rPr>
              <w:t>排放</w:t>
            </w:r>
            <w:r>
              <w:rPr>
                <w:rFonts w:hint="eastAsia"/>
                <w:b/>
                <w:bCs/>
                <w:szCs w:val="21"/>
              </w:rPr>
              <w:t>浓度</w:t>
            </w:r>
          </w:p>
        </w:tc>
        <w:tc>
          <w:tcPr>
            <w:tcW w:w="969" w:type="dxa"/>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pacing w:val="-20"/>
                <w:szCs w:val="21"/>
              </w:rPr>
            </w:pPr>
            <w:r>
              <w:rPr>
                <w:b/>
                <w:bCs/>
                <w:spacing w:val="-20"/>
                <w:szCs w:val="21"/>
              </w:rPr>
              <w:t>总量指标</w:t>
            </w:r>
          </w:p>
        </w:tc>
        <w:tc>
          <w:tcPr>
            <w:tcW w:w="2858" w:type="dxa"/>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zCs w:val="21"/>
              </w:rPr>
            </w:pPr>
            <w:r>
              <w:rPr>
                <w:rFonts w:hint="eastAsia"/>
                <w:b/>
                <w:bCs/>
                <w:szCs w:val="21"/>
              </w:rPr>
              <w:t>排放</w:t>
            </w:r>
            <w:r>
              <w:rPr>
                <w:b/>
                <w:bCs/>
                <w:szCs w:val="21"/>
              </w:rPr>
              <w:t>标准</w:t>
            </w:r>
          </w:p>
        </w:tc>
        <w:tc>
          <w:tcPr>
            <w:tcW w:w="2388" w:type="dxa"/>
            <w:tcBorders>
              <w:top w:val="single" w:color="auto" w:sz="12" w:space="0"/>
              <w:bottom w:val="single" w:color="auto" w:sz="6" w:space="0"/>
            </w:tcBorders>
            <w:shd w:val="clear" w:color="auto" w:fill="D9D9D9"/>
            <w:vAlign w:val="center"/>
          </w:tcPr>
          <w:p>
            <w:pPr>
              <w:tabs>
                <w:tab w:val="left" w:pos="360"/>
              </w:tabs>
              <w:autoSpaceDE w:val="0"/>
              <w:autoSpaceDN w:val="0"/>
              <w:adjustRightInd w:val="0"/>
              <w:jc w:val="center"/>
              <w:rPr>
                <w:b/>
                <w:bCs/>
                <w:szCs w:val="21"/>
              </w:rPr>
            </w:pPr>
            <w:r>
              <w:rPr>
                <w:rFonts w:hint="eastAsia"/>
                <w:b/>
                <w:bCs/>
                <w:szCs w:val="21"/>
              </w:rPr>
              <w:t>排放口信息</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Merge w:val="restart"/>
            <w:tcBorders>
              <w:top w:val="single" w:color="auto" w:sz="6" w:space="0"/>
            </w:tcBorders>
            <w:vAlign w:val="center"/>
          </w:tcPr>
          <w:p>
            <w:pPr>
              <w:jc w:val="center"/>
              <w:rPr>
                <w:szCs w:val="21"/>
              </w:rPr>
            </w:pPr>
            <w:r>
              <w:rPr>
                <w:szCs w:val="21"/>
              </w:rPr>
              <w:t>废气</w:t>
            </w:r>
          </w:p>
        </w:tc>
        <w:tc>
          <w:tcPr>
            <w:tcW w:w="567" w:type="dxa"/>
            <w:vMerge w:val="restart"/>
            <w:tcBorders>
              <w:top w:val="single" w:color="auto" w:sz="6" w:space="0"/>
              <w:right w:val="single" w:color="auto" w:sz="4" w:space="0"/>
            </w:tcBorders>
            <w:tcMar>
              <w:left w:w="0" w:type="dxa"/>
              <w:right w:w="0" w:type="dxa"/>
            </w:tcMar>
            <w:vAlign w:val="center"/>
          </w:tcPr>
          <w:p>
            <w:pPr>
              <w:jc w:val="center"/>
              <w:rPr>
                <w:szCs w:val="21"/>
              </w:rPr>
            </w:pPr>
            <w:r>
              <w:rPr>
                <w:rFonts w:hint="eastAsia"/>
                <w:szCs w:val="21"/>
              </w:rPr>
              <w:t>无组织</w:t>
            </w:r>
          </w:p>
        </w:tc>
        <w:tc>
          <w:tcPr>
            <w:tcW w:w="888" w:type="dxa"/>
            <w:vMerge w:val="restart"/>
            <w:tcBorders>
              <w:top w:val="single" w:color="auto" w:sz="6" w:space="0"/>
              <w:left w:val="single" w:color="auto" w:sz="4" w:space="0"/>
            </w:tcBorders>
            <w:tcMar>
              <w:left w:w="0" w:type="dxa"/>
              <w:right w:w="0" w:type="dxa"/>
            </w:tcMar>
            <w:vAlign w:val="center"/>
          </w:tcPr>
          <w:p>
            <w:pPr>
              <w:jc w:val="center"/>
              <w:rPr>
                <w:szCs w:val="21"/>
              </w:rPr>
            </w:pPr>
            <w:r>
              <w:rPr>
                <w:rFonts w:hint="eastAsia"/>
                <w:szCs w:val="21"/>
              </w:rPr>
              <w:t>卸油、加油</w:t>
            </w:r>
          </w:p>
        </w:tc>
        <w:tc>
          <w:tcPr>
            <w:tcW w:w="813" w:type="dxa"/>
            <w:vMerge w:val="restart"/>
            <w:tcBorders>
              <w:top w:val="single" w:color="auto" w:sz="6" w:space="0"/>
            </w:tcBorders>
            <w:tcMar>
              <w:left w:w="0" w:type="dxa"/>
              <w:right w:w="0" w:type="dxa"/>
            </w:tcMar>
            <w:vAlign w:val="center"/>
          </w:tcPr>
          <w:p>
            <w:pPr>
              <w:jc w:val="center"/>
              <w:rPr>
                <w:szCs w:val="21"/>
              </w:rPr>
            </w:pPr>
            <w:r>
              <w:rPr>
                <w:rFonts w:hint="eastAsia"/>
                <w:szCs w:val="21"/>
              </w:rPr>
              <w:t>非甲烷总烃</w:t>
            </w:r>
          </w:p>
        </w:tc>
        <w:tc>
          <w:tcPr>
            <w:tcW w:w="2977" w:type="dxa"/>
            <w:vMerge w:val="restart"/>
            <w:tcBorders>
              <w:top w:val="single" w:color="auto" w:sz="6" w:space="0"/>
            </w:tcBorders>
            <w:tcMar>
              <w:left w:w="0" w:type="dxa"/>
              <w:right w:w="0" w:type="dxa"/>
            </w:tcMar>
            <w:vAlign w:val="center"/>
          </w:tcPr>
          <w:p>
            <w:pPr>
              <w:widowControl/>
              <w:jc w:val="center"/>
              <w:rPr>
                <w:szCs w:val="21"/>
              </w:rPr>
            </w:pPr>
            <w:r>
              <w:rPr>
                <w:rFonts w:hint="eastAsia"/>
                <w:szCs w:val="21"/>
              </w:rPr>
              <w:t>加油站汽油卸油时排放的油气，采用密闭收集为基础的卸油油气回收系统进行回收，卸油的回收效率95%；汽油加油机排放的油气，采用分散式加油油气回收装置，加油回收效率90%。</w:t>
            </w:r>
          </w:p>
        </w:tc>
        <w:tc>
          <w:tcPr>
            <w:tcW w:w="1418" w:type="dxa"/>
            <w:tcBorders>
              <w:top w:val="single" w:color="auto" w:sz="6" w:space="0"/>
              <w:bottom w:val="single" w:color="auto" w:sz="4" w:space="0"/>
            </w:tcBorders>
            <w:tcMar>
              <w:left w:w="0" w:type="dxa"/>
              <w:right w:w="0" w:type="dxa"/>
            </w:tcMar>
            <w:vAlign w:val="center"/>
          </w:tcPr>
          <w:p>
            <w:pPr>
              <w:jc w:val="center"/>
              <w:rPr>
                <w:szCs w:val="21"/>
              </w:rPr>
            </w:pPr>
            <w:r>
              <w:rPr>
                <w:rFonts w:hint="eastAsia"/>
                <w:szCs w:val="21"/>
              </w:rPr>
              <w:t>＜4</w:t>
            </w:r>
            <w:r>
              <w:rPr>
                <w:szCs w:val="21"/>
              </w:rPr>
              <w:t>mg/m</w:t>
            </w:r>
            <w:r>
              <w:rPr>
                <w:szCs w:val="21"/>
                <w:vertAlign w:val="superscript"/>
              </w:rPr>
              <w:t>3</w:t>
            </w:r>
          </w:p>
        </w:tc>
        <w:tc>
          <w:tcPr>
            <w:tcW w:w="969" w:type="dxa"/>
            <w:vMerge w:val="restart"/>
            <w:tcBorders>
              <w:top w:val="single" w:color="auto" w:sz="6" w:space="0"/>
            </w:tcBorders>
            <w:vAlign w:val="center"/>
          </w:tcPr>
          <w:p>
            <w:pPr>
              <w:jc w:val="center"/>
              <w:rPr>
                <w:szCs w:val="21"/>
              </w:rPr>
            </w:pPr>
            <w:r>
              <w:rPr>
                <w:szCs w:val="21"/>
              </w:rPr>
              <w:t>468.55 kg/a</w:t>
            </w:r>
          </w:p>
        </w:tc>
        <w:tc>
          <w:tcPr>
            <w:tcW w:w="2858" w:type="dxa"/>
            <w:tcBorders>
              <w:top w:val="single" w:color="auto" w:sz="6" w:space="0"/>
            </w:tcBorders>
            <w:vAlign w:val="center"/>
          </w:tcPr>
          <w:p>
            <w:pPr>
              <w:jc w:val="center"/>
              <w:rPr>
                <w:szCs w:val="21"/>
              </w:rPr>
            </w:pPr>
            <w:r>
              <w:rPr>
                <w:szCs w:val="21"/>
              </w:rPr>
              <w:t>《大气污染物综合排放标准》（GB16297－1996）</w:t>
            </w:r>
            <w:r>
              <w:rPr>
                <w:rFonts w:hint="eastAsia"/>
                <w:szCs w:val="21"/>
              </w:rPr>
              <w:t>无组织排放监控浓度限值</w:t>
            </w:r>
          </w:p>
        </w:tc>
        <w:tc>
          <w:tcPr>
            <w:tcW w:w="2388" w:type="dxa"/>
            <w:vMerge w:val="restart"/>
            <w:tcBorders>
              <w:top w:val="single" w:color="auto" w:sz="6" w:space="0"/>
            </w:tcBorders>
            <w:vAlign w:val="center"/>
          </w:tcPr>
          <w:p>
            <w:pPr>
              <w:jc w:val="center"/>
              <w:rPr>
                <w:b/>
                <w:bCs/>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Merge w:val="continue"/>
            <w:tcBorders>
              <w:top w:val="single" w:color="auto" w:sz="6" w:space="0"/>
            </w:tcBorders>
            <w:vAlign w:val="center"/>
          </w:tcPr>
          <w:p>
            <w:pPr>
              <w:jc w:val="center"/>
              <w:rPr>
                <w:szCs w:val="21"/>
              </w:rPr>
            </w:pPr>
          </w:p>
        </w:tc>
        <w:tc>
          <w:tcPr>
            <w:tcW w:w="567" w:type="dxa"/>
            <w:vMerge w:val="continue"/>
            <w:tcBorders>
              <w:top w:val="single" w:color="auto" w:sz="6" w:space="0"/>
              <w:right w:val="single" w:color="auto" w:sz="4" w:space="0"/>
            </w:tcBorders>
            <w:tcMar>
              <w:left w:w="0" w:type="dxa"/>
              <w:right w:w="0" w:type="dxa"/>
            </w:tcMar>
            <w:vAlign w:val="center"/>
          </w:tcPr>
          <w:p>
            <w:pPr>
              <w:jc w:val="center"/>
              <w:rPr>
                <w:rFonts w:hint="eastAsia"/>
                <w:szCs w:val="21"/>
              </w:rPr>
            </w:pPr>
          </w:p>
        </w:tc>
        <w:tc>
          <w:tcPr>
            <w:tcW w:w="888" w:type="dxa"/>
            <w:vMerge w:val="continue"/>
            <w:tcBorders>
              <w:top w:val="single" w:color="auto" w:sz="6" w:space="0"/>
              <w:left w:val="single" w:color="auto" w:sz="4" w:space="0"/>
            </w:tcBorders>
            <w:tcMar>
              <w:left w:w="0" w:type="dxa"/>
              <w:right w:w="0" w:type="dxa"/>
            </w:tcMar>
            <w:vAlign w:val="center"/>
          </w:tcPr>
          <w:p>
            <w:pPr>
              <w:jc w:val="center"/>
              <w:rPr>
                <w:rFonts w:hint="eastAsia"/>
                <w:szCs w:val="21"/>
              </w:rPr>
            </w:pPr>
          </w:p>
        </w:tc>
        <w:tc>
          <w:tcPr>
            <w:tcW w:w="813" w:type="dxa"/>
            <w:vMerge w:val="continue"/>
            <w:tcBorders>
              <w:top w:val="single" w:color="auto" w:sz="6" w:space="0"/>
            </w:tcBorders>
            <w:tcMar>
              <w:left w:w="0" w:type="dxa"/>
              <w:right w:w="0" w:type="dxa"/>
            </w:tcMar>
            <w:vAlign w:val="center"/>
          </w:tcPr>
          <w:p>
            <w:pPr>
              <w:jc w:val="center"/>
              <w:rPr>
                <w:rFonts w:hint="eastAsia"/>
                <w:szCs w:val="21"/>
              </w:rPr>
            </w:pPr>
          </w:p>
        </w:tc>
        <w:tc>
          <w:tcPr>
            <w:tcW w:w="2977" w:type="dxa"/>
            <w:vMerge w:val="continue"/>
            <w:tcBorders>
              <w:top w:val="single" w:color="auto" w:sz="6" w:space="0"/>
            </w:tcBorders>
            <w:tcMar>
              <w:left w:w="0" w:type="dxa"/>
              <w:right w:w="0" w:type="dxa"/>
            </w:tcMar>
            <w:vAlign w:val="center"/>
          </w:tcPr>
          <w:p>
            <w:pPr>
              <w:widowControl/>
              <w:jc w:val="center"/>
              <w:rPr>
                <w:rFonts w:hint="eastAsia"/>
                <w:szCs w:val="21"/>
              </w:rPr>
            </w:pPr>
          </w:p>
        </w:tc>
        <w:tc>
          <w:tcPr>
            <w:tcW w:w="1418" w:type="dxa"/>
            <w:tcBorders>
              <w:top w:val="single" w:color="auto" w:sz="6" w:space="0"/>
              <w:bottom w:val="single" w:color="auto" w:sz="4" w:space="0"/>
            </w:tcBorders>
            <w:tcMar>
              <w:left w:w="0" w:type="dxa"/>
              <w:right w:w="0" w:type="dxa"/>
            </w:tcMar>
            <w:vAlign w:val="center"/>
          </w:tcPr>
          <w:p>
            <w:pPr>
              <w:jc w:val="center"/>
              <w:rPr>
                <w:rFonts w:hint="eastAsia"/>
                <w:szCs w:val="21"/>
              </w:rPr>
            </w:pPr>
            <w:r>
              <w:rPr>
                <w:rFonts w:hint="eastAsia"/>
                <w:szCs w:val="21"/>
              </w:rPr>
              <w:t>＜25g/m</w:t>
            </w:r>
            <w:r>
              <w:rPr>
                <w:rFonts w:hint="eastAsia"/>
                <w:szCs w:val="21"/>
                <w:vertAlign w:val="superscript"/>
              </w:rPr>
              <w:t>3</w:t>
            </w:r>
          </w:p>
        </w:tc>
        <w:tc>
          <w:tcPr>
            <w:tcW w:w="969" w:type="dxa"/>
            <w:vMerge w:val="continue"/>
            <w:tcBorders>
              <w:top w:val="single" w:color="auto" w:sz="6" w:space="0"/>
            </w:tcBorders>
            <w:vAlign w:val="center"/>
          </w:tcPr>
          <w:p>
            <w:pPr>
              <w:jc w:val="center"/>
              <w:rPr>
                <w:szCs w:val="21"/>
              </w:rPr>
            </w:pPr>
          </w:p>
        </w:tc>
        <w:tc>
          <w:tcPr>
            <w:tcW w:w="2858" w:type="dxa"/>
            <w:tcBorders>
              <w:top w:val="single" w:color="auto" w:sz="6" w:space="0"/>
            </w:tcBorders>
            <w:vAlign w:val="center"/>
          </w:tcPr>
          <w:p>
            <w:pPr>
              <w:jc w:val="center"/>
              <w:rPr>
                <w:szCs w:val="21"/>
              </w:rPr>
            </w:pPr>
            <w:r>
              <w:rPr>
                <w:rFonts w:hint="eastAsia"/>
                <w:szCs w:val="21"/>
              </w:rPr>
              <w:t>油气排放执行《加油站大气污染物排放标准》(GB20952-2007)：处理装置的油气排放浓度排放口距地面高度应不低于4m。</w:t>
            </w:r>
          </w:p>
        </w:tc>
        <w:tc>
          <w:tcPr>
            <w:tcW w:w="2388" w:type="dxa"/>
            <w:vMerge w:val="continue"/>
            <w:tcBorders>
              <w:top w:val="single" w:color="auto" w:sz="6" w:space="0"/>
            </w:tcBorders>
            <w:vAlign w:val="center"/>
          </w:tcPr>
          <w:p>
            <w:pPr>
              <w:jc w:val="center"/>
              <w:rPr>
                <w:rFonts w:hint="eastAsia"/>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Merge w:val="continue"/>
            <w:vAlign w:val="center"/>
          </w:tcPr>
          <w:p>
            <w:pPr>
              <w:jc w:val="center"/>
              <w:rPr>
                <w:szCs w:val="21"/>
              </w:rPr>
            </w:pPr>
          </w:p>
        </w:tc>
        <w:tc>
          <w:tcPr>
            <w:tcW w:w="567" w:type="dxa"/>
            <w:vMerge w:val="continue"/>
            <w:tcBorders>
              <w:right w:val="single" w:color="auto" w:sz="4" w:space="0"/>
            </w:tcBorders>
            <w:tcMar>
              <w:left w:w="0" w:type="dxa"/>
              <w:right w:w="0" w:type="dxa"/>
            </w:tcMar>
            <w:vAlign w:val="center"/>
          </w:tcPr>
          <w:p>
            <w:pPr>
              <w:jc w:val="center"/>
              <w:rPr>
                <w:szCs w:val="21"/>
              </w:rPr>
            </w:pPr>
          </w:p>
        </w:tc>
        <w:tc>
          <w:tcPr>
            <w:tcW w:w="888" w:type="dxa"/>
            <w:vMerge w:val="continue"/>
            <w:tcBorders>
              <w:left w:val="single" w:color="auto" w:sz="4" w:space="0"/>
              <w:bottom w:val="single" w:color="auto" w:sz="4" w:space="0"/>
            </w:tcBorders>
            <w:tcMar>
              <w:left w:w="0" w:type="dxa"/>
              <w:right w:w="0" w:type="dxa"/>
            </w:tcMar>
            <w:vAlign w:val="center"/>
          </w:tcPr>
          <w:p>
            <w:pPr>
              <w:jc w:val="center"/>
              <w:rPr>
                <w:szCs w:val="21"/>
              </w:rPr>
            </w:pPr>
          </w:p>
        </w:tc>
        <w:tc>
          <w:tcPr>
            <w:tcW w:w="813" w:type="dxa"/>
            <w:vMerge w:val="continue"/>
            <w:tcMar>
              <w:left w:w="0" w:type="dxa"/>
              <w:right w:w="0" w:type="dxa"/>
            </w:tcMar>
            <w:vAlign w:val="center"/>
          </w:tcPr>
          <w:p>
            <w:pPr>
              <w:jc w:val="center"/>
              <w:rPr>
                <w:szCs w:val="21"/>
              </w:rPr>
            </w:pPr>
          </w:p>
        </w:tc>
        <w:tc>
          <w:tcPr>
            <w:tcW w:w="2977" w:type="dxa"/>
            <w:vMerge w:val="continue"/>
            <w:tcBorders>
              <w:bottom w:val="single" w:color="auto" w:sz="4" w:space="0"/>
            </w:tcBorders>
            <w:tcMar>
              <w:left w:w="0" w:type="dxa"/>
              <w:right w:w="0" w:type="dxa"/>
            </w:tcMar>
            <w:vAlign w:val="center"/>
          </w:tcPr>
          <w:p>
            <w:pPr>
              <w:widowControl/>
              <w:jc w:val="center"/>
              <w:rPr>
                <w:szCs w:val="21"/>
              </w:rPr>
            </w:pPr>
          </w:p>
        </w:tc>
        <w:tc>
          <w:tcPr>
            <w:tcW w:w="1418" w:type="dxa"/>
            <w:tcBorders>
              <w:top w:val="single" w:color="auto" w:sz="6" w:space="0"/>
              <w:bottom w:val="single" w:color="auto" w:sz="4" w:space="0"/>
            </w:tcBorders>
            <w:tcMar>
              <w:left w:w="0" w:type="dxa"/>
              <w:right w:w="0" w:type="dxa"/>
            </w:tcMar>
            <w:vAlign w:val="center"/>
          </w:tcPr>
          <w:p>
            <w:pPr>
              <w:jc w:val="center"/>
              <w:rPr>
                <w:szCs w:val="21"/>
              </w:rPr>
            </w:pPr>
            <w:r>
              <w:rPr>
                <w:rFonts w:hint="eastAsia"/>
                <w:szCs w:val="21"/>
              </w:rPr>
              <w:t>1h平均浓度＜10mg/m</w:t>
            </w:r>
            <w:r>
              <w:rPr>
                <w:rFonts w:hint="eastAsia"/>
                <w:szCs w:val="21"/>
                <w:vertAlign w:val="superscript"/>
              </w:rPr>
              <w:t>3</w:t>
            </w:r>
            <w:r>
              <w:rPr>
                <w:rFonts w:hint="eastAsia"/>
                <w:szCs w:val="21"/>
              </w:rPr>
              <w:t>，任意一次浓度值＜30mg/m</w:t>
            </w:r>
            <w:r>
              <w:rPr>
                <w:rFonts w:hint="eastAsia"/>
                <w:szCs w:val="21"/>
                <w:vertAlign w:val="superscript"/>
              </w:rPr>
              <w:t>3</w:t>
            </w:r>
          </w:p>
        </w:tc>
        <w:tc>
          <w:tcPr>
            <w:tcW w:w="969" w:type="dxa"/>
            <w:vMerge w:val="continue"/>
            <w:vAlign w:val="center"/>
          </w:tcPr>
          <w:p>
            <w:pPr>
              <w:jc w:val="center"/>
              <w:rPr>
                <w:szCs w:val="21"/>
              </w:rPr>
            </w:pPr>
          </w:p>
        </w:tc>
        <w:tc>
          <w:tcPr>
            <w:tcW w:w="2858" w:type="dxa"/>
            <w:tcBorders>
              <w:bottom w:val="single" w:color="auto" w:sz="4" w:space="0"/>
            </w:tcBorders>
            <w:vAlign w:val="center"/>
          </w:tcPr>
          <w:p>
            <w:pPr>
              <w:jc w:val="center"/>
              <w:rPr>
                <w:szCs w:val="21"/>
              </w:rPr>
            </w:pPr>
            <w:r>
              <w:rPr>
                <w:szCs w:val="21"/>
              </w:rPr>
              <w:t>《挥发性有机物无组织排放标准》（GB</w:t>
            </w:r>
            <w:r>
              <w:rPr>
                <w:rFonts w:hint="eastAsia"/>
                <w:szCs w:val="21"/>
              </w:rPr>
              <w:t>37822</w:t>
            </w:r>
            <w:r>
              <w:rPr>
                <w:szCs w:val="21"/>
              </w:rPr>
              <w:t>-20</w:t>
            </w:r>
            <w:r>
              <w:rPr>
                <w:rFonts w:hint="eastAsia"/>
                <w:szCs w:val="21"/>
              </w:rPr>
              <w:t>19</w:t>
            </w:r>
            <w:r>
              <w:rPr>
                <w:szCs w:val="21"/>
              </w:rPr>
              <w:t>）中表</w:t>
            </w:r>
            <w:r>
              <w:rPr>
                <w:rFonts w:hint="eastAsia"/>
                <w:szCs w:val="21"/>
              </w:rPr>
              <w:t>A.1无组织排放限值</w:t>
            </w:r>
          </w:p>
        </w:tc>
        <w:tc>
          <w:tcPr>
            <w:tcW w:w="2388" w:type="dxa"/>
            <w:vMerge w:val="continue"/>
            <w:vAlign w:val="center"/>
          </w:tcPr>
          <w:p>
            <w:pPr>
              <w:jc w:val="center"/>
              <w:rPr>
                <w:szCs w:val="21"/>
              </w:rPr>
            </w:pP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Merge w:val="continue"/>
            <w:vAlign w:val="center"/>
          </w:tcPr>
          <w:p>
            <w:pPr>
              <w:jc w:val="center"/>
              <w:rPr>
                <w:szCs w:val="21"/>
              </w:rPr>
            </w:pPr>
          </w:p>
        </w:tc>
        <w:tc>
          <w:tcPr>
            <w:tcW w:w="1455" w:type="dxa"/>
            <w:gridSpan w:val="2"/>
            <w:tcMar>
              <w:left w:w="0" w:type="dxa"/>
              <w:right w:w="0" w:type="dxa"/>
            </w:tcMar>
            <w:vAlign w:val="center"/>
          </w:tcPr>
          <w:p>
            <w:pPr>
              <w:jc w:val="center"/>
              <w:rPr>
                <w:szCs w:val="21"/>
              </w:rPr>
            </w:pPr>
            <w:r>
              <w:rPr>
                <w:rFonts w:hint="eastAsia"/>
                <w:szCs w:val="21"/>
              </w:rPr>
              <w:t>食堂</w:t>
            </w:r>
          </w:p>
        </w:tc>
        <w:tc>
          <w:tcPr>
            <w:tcW w:w="813" w:type="dxa"/>
            <w:tcMar>
              <w:left w:w="0" w:type="dxa"/>
              <w:right w:w="0" w:type="dxa"/>
            </w:tcMar>
            <w:vAlign w:val="center"/>
          </w:tcPr>
          <w:p>
            <w:pPr>
              <w:jc w:val="center"/>
              <w:rPr>
                <w:szCs w:val="21"/>
              </w:rPr>
            </w:pPr>
            <w:r>
              <w:rPr>
                <w:rFonts w:hint="eastAsia"/>
                <w:szCs w:val="21"/>
              </w:rPr>
              <w:t>油烟</w:t>
            </w:r>
          </w:p>
        </w:tc>
        <w:tc>
          <w:tcPr>
            <w:tcW w:w="2977" w:type="dxa"/>
            <w:tcBorders>
              <w:bottom w:val="single" w:color="auto" w:sz="4" w:space="0"/>
            </w:tcBorders>
            <w:tcMar>
              <w:left w:w="0" w:type="dxa"/>
              <w:right w:w="0" w:type="dxa"/>
            </w:tcMar>
            <w:vAlign w:val="center"/>
          </w:tcPr>
          <w:p>
            <w:pPr>
              <w:widowControl/>
              <w:jc w:val="center"/>
              <w:rPr>
                <w:szCs w:val="21"/>
              </w:rPr>
            </w:pPr>
            <w:r>
              <w:rPr>
                <w:rFonts w:hint="eastAsia"/>
                <w:szCs w:val="21"/>
              </w:rPr>
              <w:t>净化效率60%的油烟净化器</w:t>
            </w:r>
          </w:p>
        </w:tc>
        <w:tc>
          <w:tcPr>
            <w:tcW w:w="1418" w:type="dxa"/>
            <w:tcBorders>
              <w:top w:val="single" w:color="auto" w:sz="6" w:space="0"/>
              <w:bottom w:val="single" w:color="auto" w:sz="4" w:space="0"/>
            </w:tcBorders>
            <w:tcMar>
              <w:left w:w="0" w:type="dxa"/>
              <w:right w:w="0" w:type="dxa"/>
            </w:tcMar>
            <w:vAlign w:val="center"/>
          </w:tcPr>
          <w:p>
            <w:pPr>
              <w:jc w:val="center"/>
              <w:rPr>
                <w:szCs w:val="21"/>
              </w:rPr>
            </w:pPr>
            <w:r>
              <w:rPr>
                <w:rFonts w:hint="eastAsia"/>
                <w:szCs w:val="21"/>
              </w:rPr>
              <w:t>＜2</w:t>
            </w:r>
            <w:r>
              <w:rPr>
                <w:szCs w:val="21"/>
              </w:rPr>
              <w:t>mg/m</w:t>
            </w:r>
            <w:r>
              <w:rPr>
                <w:szCs w:val="21"/>
                <w:vertAlign w:val="superscript"/>
              </w:rPr>
              <w:t>3</w:t>
            </w:r>
          </w:p>
        </w:tc>
        <w:tc>
          <w:tcPr>
            <w:tcW w:w="969" w:type="dxa"/>
            <w:vAlign w:val="center"/>
          </w:tcPr>
          <w:p>
            <w:pPr>
              <w:jc w:val="center"/>
              <w:rPr>
                <w:szCs w:val="21"/>
              </w:rPr>
            </w:pPr>
            <w:r>
              <w:rPr>
                <w:szCs w:val="21"/>
              </w:rPr>
              <w:t>0.70 kg/a</w:t>
            </w:r>
          </w:p>
        </w:tc>
        <w:tc>
          <w:tcPr>
            <w:tcW w:w="2858" w:type="dxa"/>
            <w:tcBorders>
              <w:bottom w:val="single" w:color="auto" w:sz="4" w:space="0"/>
            </w:tcBorders>
            <w:vAlign w:val="center"/>
          </w:tcPr>
          <w:p>
            <w:pPr>
              <w:jc w:val="center"/>
              <w:rPr>
                <w:szCs w:val="21"/>
              </w:rPr>
            </w:pPr>
            <w:r>
              <w:rPr>
                <w:rFonts w:hint="eastAsia"/>
                <w:szCs w:val="21"/>
              </w:rPr>
              <w:t>《饮食业油烟排放标准（试行）》（GB18483-2001）小型</w:t>
            </w:r>
          </w:p>
        </w:tc>
        <w:tc>
          <w:tcPr>
            <w:tcW w:w="2388" w:type="dxa"/>
            <w:vAlign w:val="center"/>
          </w:tcPr>
          <w:p>
            <w:pPr>
              <w:jc w:val="center"/>
              <w:rPr>
                <w:b/>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Align w:val="center"/>
          </w:tcPr>
          <w:p>
            <w:pPr>
              <w:jc w:val="center"/>
              <w:rPr>
                <w:szCs w:val="21"/>
              </w:rPr>
            </w:pPr>
            <w:r>
              <w:rPr>
                <w:rFonts w:hint="eastAsia"/>
                <w:szCs w:val="21"/>
              </w:rPr>
              <w:t>废水</w:t>
            </w:r>
          </w:p>
        </w:tc>
        <w:tc>
          <w:tcPr>
            <w:tcW w:w="2268" w:type="dxa"/>
            <w:gridSpan w:val="3"/>
            <w:vAlign w:val="center"/>
          </w:tcPr>
          <w:p>
            <w:pPr>
              <w:jc w:val="center"/>
              <w:rPr>
                <w:szCs w:val="21"/>
              </w:rPr>
            </w:pPr>
            <w:r>
              <w:rPr>
                <w:rFonts w:hint="eastAsia"/>
                <w:szCs w:val="21"/>
              </w:rPr>
              <w:t>生活污水</w:t>
            </w:r>
          </w:p>
        </w:tc>
        <w:tc>
          <w:tcPr>
            <w:tcW w:w="4395" w:type="dxa"/>
            <w:gridSpan w:val="2"/>
            <w:tcBorders>
              <w:right w:val="single" w:color="auto" w:sz="4" w:space="0"/>
            </w:tcBorders>
            <w:vAlign w:val="center"/>
          </w:tcPr>
          <w:p>
            <w:pPr>
              <w:jc w:val="center"/>
              <w:rPr>
                <w:szCs w:val="21"/>
              </w:rPr>
            </w:pPr>
            <w:r>
              <w:rPr>
                <w:szCs w:val="21"/>
              </w:rPr>
              <w:t>排入防渗旱厕，定期清掏，外运堆肥</w:t>
            </w:r>
          </w:p>
        </w:tc>
        <w:tc>
          <w:tcPr>
            <w:tcW w:w="969" w:type="dxa"/>
            <w:tcBorders>
              <w:left w:val="single" w:color="auto" w:sz="4" w:space="0"/>
            </w:tcBorders>
            <w:vAlign w:val="center"/>
          </w:tcPr>
          <w:p>
            <w:pPr>
              <w:jc w:val="center"/>
              <w:rPr>
                <w:szCs w:val="21"/>
              </w:rPr>
            </w:pPr>
            <w:r>
              <w:rPr>
                <w:rFonts w:hint="eastAsia"/>
                <w:szCs w:val="21"/>
              </w:rPr>
              <w:t>/</w:t>
            </w:r>
          </w:p>
        </w:tc>
        <w:tc>
          <w:tcPr>
            <w:tcW w:w="2858" w:type="dxa"/>
            <w:vAlign w:val="center"/>
          </w:tcPr>
          <w:p>
            <w:pPr>
              <w:jc w:val="center"/>
              <w:rPr>
                <w:szCs w:val="21"/>
              </w:rPr>
            </w:pPr>
            <w:r>
              <w:rPr>
                <w:szCs w:val="21"/>
              </w:rPr>
              <w:t>处置率100%</w:t>
            </w:r>
          </w:p>
        </w:tc>
        <w:tc>
          <w:tcPr>
            <w:tcW w:w="2388" w:type="dxa"/>
            <w:vAlign w:val="center"/>
          </w:tcPr>
          <w:p>
            <w:pPr>
              <w:jc w:val="center"/>
              <w:rPr>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Align w:val="center"/>
          </w:tcPr>
          <w:p>
            <w:pPr>
              <w:jc w:val="center"/>
              <w:rPr>
                <w:szCs w:val="21"/>
              </w:rPr>
            </w:pPr>
            <w:r>
              <w:rPr>
                <w:rFonts w:hint="eastAsia"/>
                <w:szCs w:val="21"/>
              </w:rPr>
              <w:t>噪声</w:t>
            </w:r>
          </w:p>
        </w:tc>
        <w:tc>
          <w:tcPr>
            <w:tcW w:w="2268" w:type="dxa"/>
            <w:gridSpan w:val="3"/>
            <w:vAlign w:val="center"/>
          </w:tcPr>
          <w:p>
            <w:pPr>
              <w:jc w:val="center"/>
              <w:rPr>
                <w:szCs w:val="21"/>
              </w:rPr>
            </w:pPr>
            <w:r>
              <w:rPr>
                <w:rFonts w:hint="eastAsia"/>
                <w:szCs w:val="21"/>
              </w:rPr>
              <w:t>设备噪声</w:t>
            </w:r>
          </w:p>
        </w:tc>
        <w:tc>
          <w:tcPr>
            <w:tcW w:w="4395" w:type="dxa"/>
            <w:gridSpan w:val="2"/>
            <w:vAlign w:val="center"/>
          </w:tcPr>
          <w:p>
            <w:pPr>
              <w:jc w:val="center"/>
              <w:rPr>
                <w:szCs w:val="21"/>
              </w:rPr>
            </w:pPr>
            <w:r>
              <w:rPr>
                <w:rFonts w:hint="eastAsia"/>
                <w:szCs w:val="21"/>
              </w:rPr>
              <w:t>基础减振</w:t>
            </w:r>
          </w:p>
        </w:tc>
        <w:tc>
          <w:tcPr>
            <w:tcW w:w="3827" w:type="dxa"/>
            <w:gridSpan w:val="2"/>
            <w:vAlign w:val="center"/>
          </w:tcPr>
          <w:p>
            <w:pPr>
              <w:jc w:val="center"/>
              <w:rPr>
                <w:szCs w:val="21"/>
              </w:rPr>
            </w:pPr>
            <w:r>
              <w:rPr>
                <w:rFonts w:hint="eastAsia"/>
                <w:szCs w:val="21"/>
              </w:rPr>
              <w:t>北侧厂界满足</w:t>
            </w:r>
            <w:r>
              <w:rPr>
                <w:szCs w:val="21"/>
              </w:rPr>
              <w:t>《工业企业厂界环境噪声排放标准》(GB12348-2008)</w:t>
            </w:r>
            <w:r>
              <w:rPr>
                <w:rFonts w:hint="eastAsia"/>
                <w:szCs w:val="21"/>
              </w:rPr>
              <w:t xml:space="preserve"> 4类标准；其余厂界满足2类标准</w:t>
            </w:r>
          </w:p>
        </w:tc>
        <w:tc>
          <w:tcPr>
            <w:tcW w:w="2388" w:type="dxa"/>
            <w:vAlign w:val="center"/>
          </w:tcPr>
          <w:p>
            <w:pPr>
              <w:ind w:firstLine="1260" w:firstLineChars="600"/>
              <w:rPr>
                <w:b/>
                <w:bCs/>
                <w:szCs w:val="21"/>
              </w:rPr>
            </w:pPr>
            <w:r>
              <w:rPr>
                <w:rFonts w:ascii="宋体" w:hAnsi="宋体"/>
                <w:szCs w:val="21"/>
              </w:rPr>
              <w:drawing>
                <wp:anchor distT="0" distB="0" distL="114300" distR="114300" simplePos="0" relativeHeight="251688960" behindDoc="0" locked="0" layoutInCell="1" allowOverlap="1">
                  <wp:simplePos x="0" y="0"/>
                  <wp:positionH relativeFrom="column">
                    <wp:posOffset>14605</wp:posOffset>
                  </wp:positionH>
                  <wp:positionV relativeFrom="paragraph">
                    <wp:posOffset>217805</wp:posOffset>
                  </wp:positionV>
                  <wp:extent cx="569595" cy="497840"/>
                  <wp:effectExtent l="0" t="0" r="1905"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9595" cy="497840"/>
                          </a:xfrm>
                          <a:prstGeom prst="rect">
                            <a:avLst/>
                          </a:prstGeom>
                          <a:noFill/>
                          <a:ln>
                            <a:noFill/>
                          </a:ln>
                        </pic:spPr>
                      </pic:pic>
                    </a:graphicData>
                  </a:graphic>
                </wp:anchor>
              </w:drawing>
            </w:r>
            <w:r>
              <w:rPr>
                <w:rFonts w:ascii="宋体" w:hAnsi="宋体"/>
                <w:szCs w:val="21"/>
              </w:rPr>
              <w:drawing>
                <wp:inline distT="0" distB="0" distL="0" distR="0">
                  <wp:extent cx="678180" cy="61468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78180" cy="614680"/>
                          </a:xfrm>
                          <a:prstGeom prst="rect">
                            <a:avLst/>
                          </a:prstGeom>
                          <a:noFill/>
                          <a:ln>
                            <a:noFill/>
                          </a:ln>
                        </pic:spPr>
                      </pic:pic>
                    </a:graphicData>
                  </a:graphic>
                </wp:inline>
              </w:drawing>
            </w:r>
          </w:p>
          <w:p>
            <w:pPr>
              <w:rPr>
                <w:b/>
                <w:bCs/>
                <w:szCs w:val="21"/>
              </w:rPr>
            </w:pPr>
            <w:r>
              <w:rPr>
                <w:rFonts w:hint="eastAsia"/>
                <w:b/>
                <w:bCs/>
                <w:szCs w:val="21"/>
              </w:rPr>
              <w:t>提示图       警告图形</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Merge w:val="restart"/>
            <w:vAlign w:val="center"/>
          </w:tcPr>
          <w:p>
            <w:pPr>
              <w:jc w:val="center"/>
              <w:rPr>
                <w:szCs w:val="21"/>
              </w:rPr>
            </w:pPr>
            <w:r>
              <w:rPr>
                <w:rFonts w:hint="eastAsia"/>
                <w:szCs w:val="21"/>
              </w:rPr>
              <w:t>固废</w:t>
            </w:r>
          </w:p>
        </w:tc>
        <w:tc>
          <w:tcPr>
            <w:tcW w:w="2268" w:type="dxa"/>
            <w:gridSpan w:val="3"/>
            <w:vAlign w:val="center"/>
          </w:tcPr>
          <w:p>
            <w:pPr>
              <w:jc w:val="center"/>
              <w:rPr>
                <w:szCs w:val="21"/>
              </w:rPr>
            </w:pPr>
            <w:r>
              <w:rPr>
                <w:rFonts w:hint="eastAsia"/>
                <w:szCs w:val="21"/>
              </w:rPr>
              <w:t>生活垃圾</w:t>
            </w:r>
          </w:p>
        </w:tc>
        <w:tc>
          <w:tcPr>
            <w:tcW w:w="4395" w:type="dxa"/>
            <w:gridSpan w:val="2"/>
            <w:vAlign w:val="center"/>
          </w:tcPr>
          <w:p>
            <w:pPr>
              <w:jc w:val="center"/>
              <w:rPr>
                <w:szCs w:val="21"/>
              </w:rPr>
            </w:pPr>
            <w:r>
              <w:rPr>
                <w:rFonts w:hint="eastAsia"/>
                <w:szCs w:val="21"/>
              </w:rPr>
              <w:t>交由市政部门统一处理</w:t>
            </w:r>
          </w:p>
        </w:tc>
        <w:tc>
          <w:tcPr>
            <w:tcW w:w="3827" w:type="dxa"/>
            <w:gridSpan w:val="2"/>
            <w:vAlign w:val="center"/>
          </w:tcPr>
          <w:p>
            <w:pPr>
              <w:jc w:val="center"/>
              <w:rPr>
                <w:szCs w:val="21"/>
              </w:rPr>
            </w:pPr>
            <w:r>
              <w:rPr>
                <w:rFonts w:hint="eastAsia"/>
                <w:szCs w:val="21"/>
              </w:rPr>
              <w:t>/</w:t>
            </w:r>
          </w:p>
        </w:tc>
        <w:tc>
          <w:tcPr>
            <w:tcW w:w="2388" w:type="dxa"/>
            <w:vAlign w:val="center"/>
          </w:tcPr>
          <w:p>
            <w:pPr>
              <w:jc w:val="center"/>
              <w:rPr>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Merge w:val="continue"/>
            <w:vAlign w:val="center"/>
          </w:tcPr>
          <w:p>
            <w:pPr>
              <w:jc w:val="center"/>
              <w:rPr>
                <w:szCs w:val="21"/>
              </w:rPr>
            </w:pPr>
          </w:p>
        </w:tc>
        <w:tc>
          <w:tcPr>
            <w:tcW w:w="2268" w:type="dxa"/>
            <w:gridSpan w:val="3"/>
            <w:vAlign w:val="center"/>
          </w:tcPr>
          <w:p>
            <w:pPr>
              <w:jc w:val="center"/>
              <w:rPr>
                <w:szCs w:val="21"/>
              </w:rPr>
            </w:pPr>
            <w:r>
              <w:rPr>
                <w:rFonts w:hint="eastAsia"/>
                <w:szCs w:val="21"/>
              </w:rPr>
              <w:t>废油脂</w:t>
            </w:r>
          </w:p>
        </w:tc>
        <w:tc>
          <w:tcPr>
            <w:tcW w:w="4395" w:type="dxa"/>
            <w:gridSpan w:val="2"/>
            <w:vAlign w:val="center"/>
          </w:tcPr>
          <w:p>
            <w:pPr>
              <w:jc w:val="center"/>
              <w:rPr>
                <w:szCs w:val="21"/>
              </w:rPr>
            </w:pPr>
            <w:r>
              <w:rPr>
                <w:rFonts w:hint="eastAsia"/>
                <w:szCs w:val="21"/>
              </w:rPr>
              <w:t>委托环境卫生管理机构收集运输，无害化处置</w:t>
            </w:r>
          </w:p>
        </w:tc>
        <w:tc>
          <w:tcPr>
            <w:tcW w:w="3827" w:type="dxa"/>
            <w:gridSpan w:val="2"/>
            <w:vAlign w:val="center"/>
          </w:tcPr>
          <w:p>
            <w:pPr>
              <w:jc w:val="center"/>
              <w:rPr>
                <w:szCs w:val="21"/>
              </w:rPr>
            </w:pPr>
            <w:r>
              <w:rPr>
                <w:rFonts w:hint="eastAsia"/>
                <w:szCs w:val="21"/>
              </w:rPr>
              <w:t>/</w:t>
            </w:r>
          </w:p>
        </w:tc>
        <w:tc>
          <w:tcPr>
            <w:tcW w:w="2388" w:type="dxa"/>
            <w:vAlign w:val="center"/>
          </w:tcPr>
          <w:p>
            <w:pPr>
              <w:jc w:val="center"/>
              <w:rPr>
                <w:szCs w:val="21"/>
              </w:rPr>
            </w:pPr>
            <w:r>
              <w:rPr>
                <w:rFonts w:hint="eastAsia"/>
                <w:szCs w:val="21"/>
              </w:rPr>
              <w:t>/</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vMerge w:val="continue"/>
            <w:vAlign w:val="center"/>
          </w:tcPr>
          <w:p>
            <w:pPr>
              <w:jc w:val="center"/>
              <w:rPr>
                <w:szCs w:val="21"/>
              </w:rPr>
            </w:pPr>
          </w:p>
        </w:tc>
        <w:tc>
          <w:tcPr>
            <w:tcW w:w="2268" w:type="dxa"/>
            <w:gridSpan w:val="3"/>
            <w:vAlign w:val="center"/>
          </w:tcPr>
          <w:p>
            <w:pPr>
              <w:jc w:val="center"/>
              <w:rPr>
                <w:szCs w:val="21"/>
              </w:rPr>
            </w:pPr>
            <w:r>
              <w:rPr>
                <w:rFonts w:hint="eastAsia"/>
                <w:szCs w:val="21"/>
              </w:rPr>
              <w:t>油罐底泥（类别为HW08，代码为</w:t>
            </w:r>
            <w:r>
              <w:rPr>
                <w:rFonts w:hint="eastAsia"/>
                <w:bCs/>
                <w:szCs w:val="21"/>
              </w:rPr>
              <w:t>9</w:t>
            </w:r>
            <w:r>
              <w:rPr>
                <w:bCs/>
                <w:szCs w:val="21"/>
              </w:rPr>
              <w:t>00-</w:t>
            </w:r>
            <w:r>
              <w:rPr>
                <w:rFonts w:hint="eastAsia"/>
                <w:bCs/>
                <w:szCs w:val="21"/>
              </w:rPr>
              <w:t>221</w:t>
            </w:r>
            <w:r>
              <w:rPr>
                <w:bCs/>
                <w:szCs w:val="21"/>
              </w:rPr>
              <w:t>-</w:t>
            </w:r>
            <w:r>
              <w:rPr>
                <w:rFonts w:hint="eastAsia"/>
                <w:bCs/>
                <w:szCs w:val="21"/>
              </w:rPr>
              <w:t>08</w:t>
            </w:r>
            <w:r>
              <w:rPr>
                <w:rFonts w:hint="eastAsia"/>
                <w:szCs w:val="21"/>
              </w:rPr>
              <w:t>）</w:t>
            </w:r>
          </w:p>
        </w:tc>
        <w:tc>
          <w:tcPr>
            <w:tcW w:w="4395" w:type="dxa"/>
            <w:gridSpan w:val="2"/>
            <w:vAlign w:val="center"/>
          </w:tcPr>
          <w:p>
            <w:pPr>
              <w:jc w:val="center"/>
              <w:rPr>
                <w:szCs w:val="21"/>
              </w:rPr>
            </w:pPr>
            <w:r>
              <w:rPr>
                <w:rFonts w:hint="eastAsia"/>
                <w:szCs w:val="21"/>
              </w:rPr>
              <w:t>由有资质部门回收并处理，厂区不存储</w:t>
            </w:r>
          </w:p>
        </w:tc>
        <w:tc>
          <w:tcPr>
            <w:tcW w:w="3827" w:type="dxa"/>
            <w:gridSpan w:val="2"/>
            <w:vAlign w:val="center"/>
          </w:tcPr>
          <w:p>
            <w:pPr>
              <w:jc w:val="center"/>
              <w:rPr>
                <w:szCs w:val="21"/>
              </w:rPr>
            </w:pPr>
            <w:r>
              <w:rPr>
                <w:rFonts w:hint="eastAsia"/>
                <w:szCs w:val="21"/>
              </w:rPr>
              <w:t>/</w:t>
            </w:r>
          </w:p>
        </w:tc>
        <w:tc>
          <w:tcPr>
            <w:tcW w:w="2388" w:type="dxa"/>
            <w:vAlign w:val="center"/>
          </w:tcPr>
          <w:p>
            <w:pPr>
              <w:jc w:val="center"/>
              <w:rPr>
                <w:szCs w:val="21"/>
              </w:rPr>
            </w:pPr>
            <w:r>
              <w:rPr>
                <w:szCs w:val="21"/>
              </w:rPr>
              <w:drawing>
                <wp:inline distT="0" distB="0" distL="0" distR="0">
                  <wp:extent cx="567690" cy="42545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0"/>
                          <a:srcRect/>
                          <a:stretch>
                            <a:fillRect/>
                          </a:stretch>
                        </pic:blipFill>
                        <pic:spPr>
                          <a:xfrm>
                            <a:off x="0" y="0"/>
                            <a:ext cx="567690" cy="425450"/>
                          </a:xfrm>
                          <a:prstGeom prst="rect">
                            <a:avLst/>
                          </a:prstGeom>
                          <a:noFill/>
                          <a:ln>
                            <a:noFill/>
                          </a:ln>
                        </pic:spPr>
                      </pic:pic>
                    </a:graphicData>
                  </a:graphic>
                </wp:inline>
              </w:drawing>
            </w:r>
            <w:r>
              <w:rPr>
                <w:rFonts w:hint="eastAsia"/>
                <w:b/>
                <w:szCs w:val="21"/>
              </w:rPr>
              <w:t>危险废物</w:t>
            </w:r>
          </w:p>
        </w:tc>
      </w:tr>
      <w:tr>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23" w:type="dxa"/>
            <w:bottom w:w="0" w:type="dxa"/>
            <w:right w:w="23" w:type="dxa"/>
          </w:tblCellMar>
        </w:tblPrEx>
        <w:trPr>
          <w:trHeight w:val="20" w:hRule="atLeast"/>
          <w:jc w:val="center"/>
        </w:trPr>
        <w:tc>
          <w:tcPr>
            <w:tcW w:w="1188" w:type="dxa"/>
            <w:tcBorders>
              <w:bottom w:val="single" w:color="auto" w:sz="12" w:space="0"/>
            </w:tcBorders>
            <w:vAlign w:val="center"/>
          </w:tcPr>
          <w:p>
            <w:pPr>
              <w:jc w:val="center"/>
              <w:rPr>
                <w:szCs w:val="21"/>
              </w:rPr>
            </w:pPr>
            <w:r>
              <w:rPr>
                <w:rFonts w:hint="eastAsia"/>
                <w:szCs w:val="21"/>
              </w:rPr>
              <w:t>总量指标</w:t>
            </w:r>
          </w:p>
        </w:tc>
        <w:tc>
          <w:tcPr>
            <w:tcW w:w="12878" w:type="dxa"/>
            <w:gridSpan w:val="8"/>
            <w:tcBorders>
              <w:bottom w:val="single" w:color="auto" w:sz="12" w:space="0"/>
            </w:tcBorders>
            <w:vAlign w:val="center"/>
          </w:tcPr>
          <w:p>
            <w:pPr>
              <w:ind w:firstLine="420" w:firstLineChars="200"/>
              <w:rPr>
                <w:szCs w:val="21"/>
              </w:rPr>
            </w:pPr>
            <w:r>
              <w:rPr>
                <w:rFonts w:hint="eastAsia"/>
                <w:szCs w:val="21"/>
              </w:rPr>
              <w:t>建设后项目完成后，全厂污染物总量指标为挥发性有机物</w:t>
            </w:r>
            <w:r>
              <w:rPr>
                <w:szCs w:val="21"/>
              </w:rPr>
              <w:t>468.55 kg/a</w:t>
            </w:r>
            <w:r>
              <w:rPr>
                <w:rFonts w:hint="eastAsia"/>
                <w:szCs w:val="21"/>
              </w:rPr>
              <w:t>。</w:t>
            </w:r>
          </w:p>
        </w:tc>
      </w:tr>
    </w:tbl>
    <w:p>
      <w:pPr>
        <w:rPr>
          <w:rFonts w:ascii="Times New Roman" w:hAnsi="Times New Roma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华文仿宋">
    <w:panose1 w:val="02010600040101010101"/>
    <w:charset w:val="86"/>
    <w:family w:val="auto"/>
    <w:pitch w:val="default"/>
    <w:sig w:usb0="00000287" w:usb1="080F0000" w:usb2="00000000" w:usb3="00000000" w:csb0="0004009F" w:csb1="DFD70000"/>
  </w:font>
  <w:font w:name="Times">
    <w:altName w:val="CG Times"/>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CG Times">
    <w:panose1 w:val="02020603050405020304"/>
    <w:charset w:val="00"/>
    <w:family w:val="auto"/>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文本框 1026"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6"/>
                  <w:rPr>
                    <w:rStyle w:val="29"/>
                  </w:rPr>
                </w:pPr>
                <w:r>
                  <w:fldChar w:fldCharType="begin"/>
                </w:r>
                <w:r>
                  <w:rPr>
                    <w:rStyle w:val="29"/>
                  </w:rPr>
                  <w:instrText xml:space="preserve">PAGE  </w:instrText>
                </w:r>
                <w:r>
                  <w:fldChar w:fldCharType="separate"/>
                </w:r>
                <w:r>
                  <w:rPr>
                    <w:rStyle w:val="29"/>
                  </w:rPr>
                  <w:t>49</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文本框 1027"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文本框78" o:spid="_x0000_s2053" o:spt="202" type="#_x0000_t202" style="position:absolute;left:0pt;margin-top:0pt;height:10.35pt;width:9.05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snapToGrid w:val="0"/>
                  <w:rPr>
                    <w:rFonts w:ascii="Times New Roman" w:hAnsi="Times New Roman"/>
                    <w:sz w:val="18"/>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sz w:val="18"/>
                  </w:rPr>
                  <w:t>64</w:t>
                </w:r>
                <w:r>
                  <w:rPr>
                    <w:rFonts w:ascii="Times New Roman" w:hAnsi="Times New Roma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fldChar w:fldCharType="begin"/>
    </w:r>
    <w:r>
      <w:rPr>
        <w:rStyle w:val="29"/>
      </w:rPr>
      <w:instrText xml:space="preserve">PAGE  </w:instrText>
    </w:r>
    <w:r>
      <w:fldChar w:fldCharType="end"/>
    </w:r>
  </w:p>
  <w:p>
    <w:pPr>
      <w:pStyle w:val="1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35"/>
      </w:tabs>
      <w:jc w:val="both"/>
    </w:pPr>
    <w:r>
      <w:tab/>
    </w:r>
    <w:r>
      <w:tab/>
    </w:r>
    <w:r>
      <w:fldChar w:fldCharType="begin"/>
    </w:r>
    <w:r>
      <w:instrText xml:space="preserve"> PAGE   \* MERGEFORMAT </w:instrText>
    </w:r>
    <w:r>
      <w:fldChar w:fldCharType="separate"/>
    </w:r>
    <w:r>
      <w:rPr>
        <w:lang w:val="zh-CN"/>
      </w:rPr>
      <w:t>53</w:t>
    </w:r>
    <w:r>
      <w:fldChar w:fldCharType="end"/>
    </w:r>
  </w:p>
  <w:p>
    <w:pPr>
      <w:pStyle w:val="16"/>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6EC"/>
    <w:rsid w:val="00012F92"/>
    <w:rsid w:val="00013635"/>
    <w:rsid w:val="000169BC"/>
    <w:rsid w:val="00022C7A"/>
    <w:rsid w:val="00023917"/>
    <w:rsid w:val="000247BC"/>
    <w:rsid w:val="00024D9F"/>
    <w:rsid w:val="00032421"/>
    <w:rsid w:val="00033F6F"/>
    <w:rsid w:val="00035BD3"/>
    <w:rsid w:val="000366BF"/>
    <w:rsid w:val="00040D96"/>
    <w:rsid w:val="000419C4"/>
    <w:rsid w:val="00043215"/>
    <w:rsid w:val="0004789B"/>
    <w:rsid w:val="000517C5"/>
    <w:rsid w:val="00053E71"/>
    <w:rsid w:val="000559C0"/>
    <w:rsid w:val="00063DD1"/>
    <w:rsid w:val="00065E85"/>
    <w:rsid w:val="000660BB"/>
    <w:rsid w:val="00067371"/>
    <w:rsid w:val="00072E7C"/>
    <w:rsid w:val="000751F2"/>
    <w:rsid w:val="00075FA5"/>
    <w:rsid w:val="000767F9"/>
    <w:rsid w:val="000769D1"/>
    <w:rsid w:val="00082D9B"/>
    <w:rsid w:val="00087179"/>
    <w:rsid w:val="00090072"/>
    <w:rsid w:val="000901C4"/>
    <w:rsid w:val="0009041C"/>
    <w:rsid w:val="00090C32"/>
    <w:rsid w:val="00091646"/>
    <w:rsid w:val="00092454"/>
    <w:rsid w:val="0009611A"/>
    <w:rsid w:val="00097063"/>
    <w:rsid w:val="000A0B37"/>
    <w:rsid w:val="000A1A8D"/>
    <w:rsid w:val="000A56C9"/>
    <w:rsid w:val="000A7DB4"/>
    <w:rsid w:val="000B378B"/>
    <w:rsid w:val="000B556E"/>
    <w:rsid w:val="000C2444"/>
    <w:rsid w:val="000C65A0"/>
    <w:rsid w:val="000C741E"/>
    <w:rsid w:val="000D141D"/>
    <w:rsid w:val="000D60E9"/>
    <w:rsid w:val="000D72E9"/>
    <w:rsid w:val="000D7F89"/>
    <w:rsid w:val="000E41B4"/>
    <w:rsid w:val="000F26ED"/>
    <w:rsid w:val="00100384"/>
    <w:rsid w:val="00102E3F"/>
    <w:rsid w:val="001059B6"/>
    <w:rsid w:val="001106B2"/>
    <w:rsid w:val="00111D49"/>
    <w:rsid w:val="001125D6"/>
    <w:rsid w:val="00112DCD"/>
    <w:rsid w:val="0011303A"/>
    <w:rsid w:val="00113914"/>
    <w:rsid w:val="0011488B"/>
    <w:rsid w:val="0012409A"/>
    <w:rsid w:val="00126182"/>
    <w:rsid w:val="00126310"/>
    <w:rsid w:val="00127F03"/>
    <w:rsid w:val="00140643"/>
    <w:rsid w:val="00143F21"/>
    <w:rsid w:val="00143F70"/>
    <w:rsid w:val="00145492"/>
    <w:rsid w:val="001505AE"/>
    <w:rsid w:val="001530F9"/>
    <w:rsid w:val="00153759"/>
    <w:rsid w:val="00153967"/>
    <w:rsid w:val="00153C9D"/>
    <w:rsid w:val="0015602C"/>
    <w:rsid w:val="00157BE6"/>
    <w:rsid w:val="00162C14"/>
    <w:rsid w:val="0016356E"/>
    <w:rsid w:val="001643A9"/>
    <w:rsid w:val="00171D3F"/>
    <w:rsid w:val="001729C6"/>
    <w:rsid w:val="00174FC4"/>
    <w:rsid w:val="00175D01"/>
    <w:rsid w:val="00175D8D"/>
    <w:rsid w:val="00176173"/>
    <w:rsid w:val="00176AA5"/>
    <w:rsid w:val="00180665"/>
    <w:rsid w:val="00183F6B"/>
    <w:rsid w:val="0019278B"/>
    <w:rsid w:val="00196AAC"/>
    <w:rsid w:val="001974D9"/>
    <w:rsid w:val="001A0758"/>
    <w:rsid w:val="001A16EC"/>
    <w:rsid w:val="001A27AF"/>
    <w:rsid w:val="001B2FAD"/>
    <w:rsid w:val="001B4252"/>
    <w:rsid w:val="001B4C15"/>
    <w:rsid w:val="001B61FE"/>
    <w:rsid w:val="001C6D02"/>
    <w:rsid w:val="001C76DC"/>
    <w:rsid w:val="001C771B"/>
    <w:rsid w:val="001D03BE"/>
    <w:rsid w:val="001D063E"/>
    <w:rsid w:val="001D7610"/>
    <w:rsid w:val="001D796E"/>
    <w:rsid w:val="001E0F25"/>
    <w:rsid w:val="001E6916"/>
    <w:rsid w:val="001E723B"/>
    <w:rsid w:val="001F01BC"/>
    <w:rsid w:val="001F7A27"/>
    <w:rsid w:val="00200D56"/>
    <w:rsid w:val="00207718"/>
    <w:rsid w:val="00210EC4"/>
    <w:rsid w:val="00215F0A"/>
    <w:rsid w:val="0022409E"/>
    <w:rsid w:val="002241E9"/>
    <w:rsid w:val="00224781"/>
    <w:rsid w:val="00224E7F"/>
    <w:rsid w:val="002256B4"/>
    <w:rsid w:val="002260DC"/>
    <w:rsid w:val="00226673"/>
    <w:rsid w:val="00231A20"/>
    <w:rsid w:val="002335A0"/>
    <w:rsid w:val="00233B43"/>
    <w:rsid w:val="00247066"/>
    <w:rsid w:val="002474E7"/>
    <w:rsid w:val="00250B51"/>
    <w:rsid w:val="00252705"/>
    <w:rsid w:val="00262BA1"/>
    <w:rsid w:val="00267C1D"/>
    <w:rsid w:val="00267E58"/>
    <w:rsid w:val="00271259"/>
    <w:rsid w:val="002767A7"/>
    <w:rsid w:val="002804EF"/>
    <w:rsid w:val="002824C0"/>
    <w:rsid w:val="002871ED"/>
    <w:rsid w:val="0029036D"/>
    <w:rsid w:val="002919C5"/>
    <w:rsid w:val="00293501"/>
    <w:rsid w:val="00297585"/>
    <w:rsid w:val="002A0B29"/>
    <w:rsid w:val="002A2A17"/>
    <w:rsid w:val="002A518E"/>
    <w:rsid w:val="002A5ECB"/>
    <w:rsid w:val="002B2D4D"/>
    <w:rsid w:val="002C0015"/>
    <w:rsid w:val="002C0A03"/>
    <w:rsid w:val="002C279D"/>
    <w:rsid w:val="002C35FC"/>
    <w:rsid w:val="002C4563"/>
    <w:rsid w:val="002C55D3"/>
    <w:rsid w:val="002C58B0"/>
    <w:rsid w:val="002D7177"/>
    <w:rsid w:val="002D7F06"/>
    <w:rsid w:val="002F09DA"/>
    <w:rsid w:val="002F1A77"/>
    <w:rsid w:val="002F6B21"/>
    <w:rsid w:val="0030177A"/>
    <w:rsid w:val="00302238"/>
    <w:rsid w:val="00302296"/>
    <w:rsid w:val="00316CDE"/>
    <w:rsid w:val="003268CD"/>
    <w:rsid w:val="003277C4"/>
    <w:rsid w:val="003367BE"/>
    <w:rsid w:val="00343B55"/>
    <w:rsid w:val="00344915"/>
    <w:rsid w:val="003455A6"/>
    <w:rsid w:val="00346F10"/>
    <w:rsid w:val="00347334"/>
    <w:rsid w:val="003479AA"/>
    <w:rsid w:val="00350657"/>
    <w:rsid w:val="00351797"/>
    <w:rsid w:val="0035197F"/>
    <w:rsid w:val="00355076"/>
    <w:rsid w:val="003601BD"/>
    <w:rsid w:val="00361A24"/>
    <w:rsid w:val="0036288B"/>
    <w:rsid w:val="00365194"/>
    <w:rsid w:val="0036532C"/>
    <w:rsid w:val="00370B92"/>
    <w:rsid w:val="00371549"/>
    <w:rsid w:val="00374DA1"/>
    <w:rsid w:val="00375AF2"/>
    <w:rsid w:val="003766B7"/>
    <w:rsid w:val="00377C68"/>
    <w:rsid w:val="00382C8F"/>
    <w:rsid w:val="0038395E"/>
    <w:rsid w:val="00383C84"/>
    <w:rsid w:val="00387961"/>
    <w:rsid w:val="003910D0"/>
    <w:rsid w:val="00391E77"/>
    <w:rsid w:val="00392078"/>
    <w:rsid w:val="00395209"/>
    <w:rsid w:val="00396579"/>
    <w:rsid w:val="003A1B20"/>
    <w:rsid w:val="003A32DC"/>
    <w:rsid w:val="003A45AA"/>
    <w:rsid w:val="003A5F3C"/>
    <w:rsid w:val="003A66C0"/>
    <w:rsid w:val="003A6AC8"/>
    <w:rsid w:val="003A6BB9"/>
    <w:rsid w:val="003A75E4"/>
    <w:rsid w:val="003D0B84"/>
    <w:rsid w:val="003D2ACE"/>
    <w:rsid w:val="003D72DB"/>
    <w:rsid w:val="003E34A5"/>
    <w:rsid w:val="003E56B4"/>
    <w:rsid w:val="003F02CD"/>
    <w:rsid w:val="003F088E"/>
    <w:rsid w:val="003F4B95"/>
    <w:rsid w:val="00400AE0"/>
    <w:rsid w:val="00412C91"/>
    <w:rsid w:val="0041325D"/>
    <w:rsid w:val="0041369A"/>
    <w:rsid w:val="00413777"/>
    <w:rsid w:val="0041445C"/>
    <w:rsid w:val="004150E1"/>
    <w:rsid w:val="00426D1A"/>
    <w:rsid w:val="00427F2C"/>
    <w:rsid w:val="004304EB"/>
    <w:rsid w:val="0043270E"/>
    <w:rsid w:val="0043304E"/>
    <w:rsid w:val="00437166"/>
    <w:rsid w:val="00440277"/>
    <w:rsid w:val="004402A5"/>
    <w:rsid w:val="00440BED"/>
    <w:rsid w:val="00441CC4"/>
    <w:rsid w:val="00446FDF"/>
    <w:rsid w:val="00447536"/>
    <w:rsid w:val="00450942"/>
    <w:rsid w:val="00450EC2"/>
    <w:rsid w:val="00453036"/>
    <w:rsid w:val="00455962"/>
    <w:rsid w:val="004602F5"/>
    <w:rsid w:val="00460B34"/>
    <w:rsid w:val="00461B95"/>
    <w:rsid w:val="00462B4F"/>
    <w:rsid w:val="00463B46"/>
    <w:rsid w:val="00463B48"/>
    <w:rsid w:val="004640DB"/>
    <w:rsid w:val="00470179"/>
    <w:rsid w:val="004702FB"/>
    <w:rsid w:val="00470DED"/>
    <w:rsid w:val="00474D42"/>
    <w:rsid w:val="00476033"/>
    <w:rsid w:val="0048185B"/>
    <w:rsid w:val="00483578"/>
    <w:rsid w:val="00485110"/>
    <w:rsid w:val="004857AD"/>
    <w:rsid w:val="00490AF0"/>
    <w:rsid w:val="00490C5F"/>
    <w:rsid w:val="0049579F"/>
    <w:rsid w:val="00497C1C"/>
    <w:rsid w:val="004A00FF"/>
    <w:rsid w:val="004A075D"/>
    <w:rsid w:val="004A16BB"/>
    <w:rsid w:val="004A257F"/>
    <w:rsid w:val="004A518B"/>
    <w:rsid w:val="004A69FA"/>
    <w:rsid w:val="004B13E5"/>
    <w:rsid w:val="004B5218"/>
    <w:rsid w:val="004B5942"/>
    <w:rsid w:val="004B677B"/>
    <w:rsid w:val="004C0589"/>
    <w:rsid w:val="004C1241"/>
    <w:rsid w:val="004C4B0F"/>
    <w:rsid w:val="004D4929"/>
    <w:rsid w:val="004D6269"/>
    <w:rsid w:val="004E20A7"/>
    <w:rsid w:val="004E4E3A"/>
    <w:rsid w:val="004E52D7"/>
    <w:rsid w:val="004F0406"/>
    <w:rsid w:val="004F0EAC"/>
    <w:rsid w:val="004F2870"/>
    <w:rsid w:val="004F68CA"/>
    <w:rsid w:val="005017BC"/>
    <w:rsid w:val="005131D1"/>
    <w:rsid w:val="00515414"/>
    <w:rsid w:val="005157B2"/>
    <w:rsid w:val="0051736E"/>
    <w:rsid w:val="005205F0"/>
    <w:rsid w:val="00522CCF"/>
    <w:rsid w:val="00525DE6"/>
    <w:rsid w:val="00527DC4"/>
    <w:rsid w:val="00530C8A"/>
    <w:rsid w:val="00533894"/>
    <w:rsid w:val="005344FF"/>
    <w:rsid w:val="005347DD"/>
    <w:rsid w:val="00534DDD"/>
    <w:rsid w:val="00541D91"/>
    <w:rsid w:val="00543A80"/>
    <w:rsid w:val="005464F3"/>
    <w:rsid w:val="00546AB2"/>
    <w:rsid w:val="00554C39"/>
    <w:rsid w:val="00563A46"/>
    <w:rsid w:val="0057050B"/>
    <w:rsid w:val="0057132A"/>
    <w:rsid w:val="005805C9"/>
    <w:rsid w:val="00580FDD"/>
    <w:rsid w:val="005815F2"/>
    <w:rsid w:val="00591CA1"/>
    <w:rsid w:val="005930B5"/>
    <w:rsid w:val="00595B3E"/>
    <w:rsid w:val="00596CB6"/>
    <w:rsid w:val="005A19EE"/>
    <w:rsid w:val="005A2F76"/>
    <w:rsid w:val="005A5E9B"/>
    <w:rsid w:val="005A5FAB"/>
    <w:rsid w:val="005C3D89"/>
    <w:rsid w:val="005D13B1"/>
    <w:rsid w:val="005D3A76"/>
    <w:rsid w:val="005D4BA4"/>
    <w:rsid w:val="005D68DC"/>
    <w:rsid w:val="005E0366"/>
    <w:rsid w:val="005E5B6A"/>
    <w:rsid w:val="005E640C"/>
    <w:rsid w:val="005F01E1"/>
    <w:rsid w:val="005F146B"/>
    <w:rsid w:val="005F3362"/>
    <w:rsid w:val="005F62FC"/>
    <w:rsid w:val="00601442"/>
    <w:rsid w:val="00610B38"/>
    <w:rsid w:val="00610CE6"/>
    <w:rsid w:val="00611A60"/>
    <w:rsid w:val="00612581"/>
    <w:rsid w:val="00613093"/>
    <w:rsid w:val="0062025A"/>
    <w:rsid w:val="0062052B"/>
    <w:rsid w:val="0062278B"/>
    <w:rsid w:val="006232B9"/>
    <w:rsid w:val="0062548D"/>
    <w:rsid w:val="00627D0F"/>
    <w:rsid w:val="00632879"/>
    <w:rsid w:val="00633297"/>
    <w:rsid w:val="00633953"/>
    <w:rsid w:val="00633955"/>
    <w:rsid w:val="006353EB"/>
    <w:rsid w:val="00635975"/>
    <w:rsid w:val="00637835"/>
    <w:rsid w:val="00637CD7"/>
    <w:rsid w:val="0064358A"/>
    <w:rsid w:val="00644205"/>
    <w:rsid w:val="00644AFC"/>
    <w:rsid w:val="0064508E"/>
    <w:rsid w:val="006464E1"/>
    <w:rsid w:val="00646EB4"/>
    <w:rsid w:val="00647429"/>
    <w:rsid w:val="00657F19"/>
    <w:rsid w:val="00665751"/>
    <w:rsid w:val="00670195"/>
    <w:rsid w:val="00672226"/>
    <w:rsid w:val="00690BF8"/>
    <w:rsid w:val="00692DFD"/>
    <w:rsid w:val="00693240"/>
    <w:rsid w:val="0069383B"/>
    <w:rsid w:val="00693C56"/>
    <w:rsid w:val="00694BD5"/>
    <w:rsid w:val="006A11E4"/>
    <w:rsid w:val="006A3D17"/>
    <w:rsid w:val="006B11A7"/>
    <w:rsid w:val="006C1A59"/>
    <w:rsid w:val="006C1BA5"/>
    <w:rsid w:val="006C5FAB"/>
    <w:rsid w:val="006D331D"/>
    <w:rsid w:val="006E2F1A"/>
    <w:rsid w:val="006E639D"/>
    <w:rsid w:val="006E7895"/>
    <w:rsid w:val="00700EA6"/>
    <w:rsid w:val="007016C9"/>
    <w:rsid w:val="00705680"/>
    <w:rsid w:val="00705DD1"/>
    <w:rsid w:val="00706D0A"/>
    <w:rsid w:val="00707C8C"/>
    <w:rsid w:val="0071237D"/>
    <w:rsid w:val="007159EB"/>
    <w:rsid w:val="00715AC8"/>
    <w:rsid w:val="007165F6"/>
    <w:rsid w:val="00717E68"/>
    <w:rsid w:val="00717FD9"/>
    <w:rsid w:val="007212CE"/>
    <w:rsid w:val="00725A1E"/>
    <w:rsid w:val="00731EE7"/>
    <w:rsid w:val="00737364"/>
    <w:rsid w:val="0074057E"/>
    <w:rsid w:val="00744240"/>
    <w:rsid w:val="00750C2D"/>
    <w:rsid w:val="00751564"/>
    <w:rsid w:val="00751C4B"/>
    <w:rsid w:val="007579CD"/>
    <w:rsid w:val="00762304"/>
    <w:rsid w:val="0076292C"/>
    <w:rsid w:val="00762998"/>
    <w:rsid w:val="00763085"/>
    <w:rsid w:val="00763410"/>
    <w:rsid w:val="00763999"/>
    <w:rsid w:val="007658AD"/>
    <w:rsid w:val="00767A6F"/>
    <w:rsid w:val="0077016B"/>
    <w:rsid w:val="007701D6"/>
    <w:rsid w:val="007711C4"/>
    <w:rsid w:val="00771E44"/>
    <w:rsid w:val="0077217B"/>
    <w:rsid w:val="00774419"/>
    <w:rsid w:val="007749C2"/>
    <w:rsid w:val="0077681C"/>
    <w:rsid w:val="00776EDE"/>
    <w:rsid w:val="007778B9"/>
    <w:rsid w:val="00781B08"/>
    <w:rsid w:val="007824AE"/>
    <w:rsid w:val="00782D2B"/>
    <w:rsid w:val="00785098"/>
    <w:rsid w:val="00786119"/>
    <w:rsid w:val="007866F5"/>
    <w:rsid w:val="0078782B"/>
    <w:rsid w:val="00787FFD"/>
    <w:rsid w:val="0079255B"/>
    <w:rsid w:val="007A0DE1"/>
    <w:rsid w:val="007A0FA7"/>
    <w:rsid w:val="007A21A8"/>
    <w:rsid w:val="007A3861"/>
    <w:rsid w:val="007B01B2"/>
    <w:rsid w:val="007B0264"/>
    <w:rsid w:val="007C0F11"/>
    <w:rsid w:val="007C2FA7"/>
    <w:rsid w:val="007D25DE"/>
    <w:rsid w:val="007D4CAF"/>
    <w:rsid w:val="007D7457"/>
    <w:rsid w:val="007E1910"/>
    <w:rsid w:val="007F7E76"/>
    <w:rsid w:val="007F7F6F"/>
    <w:rsid w:val="00800675"/>
    <w:rsid w:val="008032F9"/>
    <w:rsid w:val="008058E6"/>
    <w:rsid w:val="00811F6D"/>
    <w:rsid w:val="00812268"/>
    <w:rsid w:val="00817C40"/>
    <w:rsid w:val="0083064B"/>
    <w:rsid w:val="0083333D"/>
    <w:rsid w:val="00840C4F"/>
    <w:rsid w:val="0084118F"/>
    <w:rsid w:val="00841477"/>
    <w:rsid w:val="008425DD"/>
    <w:rsid w:val="00843D5F"/>
    <w:rsid w:val="00847561"/>
    <w:rsid w:val="0085671C"/>
    <w:rsid w:val="0086101A"/>
    <w:rsid w:val="00862673"/>
    <w:rsid w:val="00862A77"/>
    <w:rsid w:val="00865EBE"/>
    <w:rsid w:val="00866AA7"/>
    <w:rsid w:val="00867D16"/>
    <w:rsid w:val="00871302"/>
    <w:rsid w:val="008760FC"/>
    <w:rsid w:val="008761B8"/>
    <w:rsid w:val="008772D6"/>
    <w:rsid w:val="00882D1A"/>
    <w:rsid w:val="00891083"/>
    <w:rsid w:val="0089215D"/>
    <w:rsid w:val="0089391F"/>
    <w:rsid w:val="008944FA"/>
    <w:rsid w:val="008969C9"/>
    <w:rsid w:val="008A6C06"/>
    <w:rsid w:val="008B4B34"/>
    <w:rsid w:val="008B5425"/>
    <w:rsid w:val="008B7F08"/>
    <w:rsid w:val="008C11AB"/>
    <w:rsid w:val="008D52E4"/>
    <w:rsid w:val="008D6BEE"/>
    <w:rsid w:val="008F0DEE"/>
    <w:rsid w:val="008F3A93"/>
    <w:rsid w:val="008F5EFE"/>
    <w:rsid w:val="00903AC6"/>
    <w:rsid w:val="0090420F"/>
    <w:rsid w:val="009059DD"/>
    <w:rsid w:val="00913BA7"/>
    <w:rsid w:val="00914E7F"/>
    <w:rsid w:val="009221AC"/>
    <w:rsid w:val="00930C1D"/>
    <w:rsid w:val="0093284E"/>
    <w:rsid w:val="00942F08"/>
    <w:rsid w:val="00944E62"/>
    <w:rsid w:val="0094568F"/>
    <w:rsid w:val="00954384"/>
    <w:rsid w:val="00955030"/>
    <w:rsid w:val="00966AC8"/>
    <w:rsid w:val="00984CFB"/>
    <w:rsid w:val="00994AC0"/>
    <w:rsid w:val="009A049F"/>
    <w:rsid w:val="009A0790"/>
    <w:rsid w:val="009A17A8"/>
    <w:rsid w:val="009A1F2C"/>
    <w:rsid w:val="009B0C79"/>
    <w:rsid w:val="009C10C3"/>
    <w:rsid w:val="009C684F"/>
    <w:rsid w:val="009C703F"/>
    <w:rsid w:val="009D093A"/>
    <w:rsid w:val="009D09A8"/>
    <w:rsid w:val="009D17C0"/>
    <w:rsid w:val="009D1DC6"/>
    <w:rsid w:val="009D39C6"/>
    <w:rsid w:val="009D6A84"/>
    <w:rsid w:val="009E6B9C"/>
    <w:rsid w:val="009E6F9F"/>
    <w:rsid w:val="009E7140"/>
    <w:rsid w:val="009F07DC"/>
    <w:rsid w:val="009F546F"/>
    <w:rsid w:val="00A0123E"/>
    <w:rsid w:val="00A015A6"/>
    <w:rsid w:val="00A06356"/>
    <w:rsid w:val="00A11540"/>
    <w:rsid w:val="00A12907"/>
    <w:rsid w:val="00A13623"/>
    <w:rsid w:val="00A144F3"/>
    <w:rsid w:val="00A16F37"/>
    <w:rsid w:val="00A2330F"/>
    <w:rsid w:val="00A33F79"/>
    <w:rsid w:val="00A35F05"/>
    <w:rsid w:val="00A37C73"/>
    <w:rsid w:val="00A37F4B"/>
    <w:rsid w:val="00A41C4C"/>
    <w:rsid w:val="00A42D2F"/>
    <w:rsid w:val="00A473F0"/>
    <w:rsid w:val="00A47A39"/>
    <w:rsid w:val="00A52CB0"/>
    <w:rsid w:val="00A54544"/>
    <w:rsid w:val="00A55C5D"/>
    <w:rsid w:val="00A5614A"/>
    <w:rsid w:val="00A56438"/>
    <w:rsid w:val="00A605B7"/>
    <w:rsid w:val="00A60B86"/>
    <w:rsid w:val="00A61A03"/>
    <w:rsid w:val="00A62B3D"/>
    <w:rsid w:val="00A63258"/>
    <w:rsid w:val="00A7209F"/>
    <w:rsid w:val="00A72DED"/>
    <w:rsid w:val="00A73984"/>
    <w:rsid w:val="00A7721E"/>
    <w:rsid w:val="00A82EB0"/>
    <w:rsid w:val="00A83005"/>
    <w:rsid w:val="00A83374"/>
    <w:rsid w:val="00A86039"/>
    <w:rsid w:val="00A8683A"/>
    <w:rsid w:val="00A87E4D"/>
    <w:rsid w:val="00A91143"/>
    <w:rsid w:val="00A93DE0"/>
    <w:rsid w:val="00A94125"/>
    <w:rsid w:val="00A96E69"/>
    <w:rsid w:val="00A97963"/>
    <w:rsid w:val="00A97C6B"/>
    <w:rsid w:val="00AA3F37"/>
    <w:rsid w:val="00AB1F23"/>
    <w:rsid w:val="00AB38A9"/>
    <w:rsid w:val="00AB4312"/>
    <w:rsid w:val="00AB7978"/>
    <w:rsid w:val="00AC31CF"/>
    <w:rsid w:val="00AC5C5F"/>
    <w:rsid w:val="00AD0A12"/>
    <w:rsid w:val="00AD13DF"/>
    <w:rsid w:val="00AD3A38"/>
    <w:rsid w:val="00AD6D67"/>
    <w:rsid w:val="00AD6E29"/>
    <w:rsid w:val="00AE19F2"/>
    <w:rsid w:val="00AE2E3F"/>
    <w:rsid w:val="00AE49D1"/>
    <w:rsid w:val="00AE4D47"/>
    <w:rsid w:val="00AE61C8"/>
    <w:rsid w:val="00AF3440"/>
    <w:rsid w:val="00AF3ED2"/>
    <w:rsid w:val="00AF6C88"/>
    <w:rsid w:val="00AF7A1A"/>
    <w:rsid w:val="00B00F0A"/>
    <w:rsid w:val="00B0198C"/>
    <w:rsid w:val="00B01F48"/>
    <w:rsid w:val="00B04A9C"/>
    <w:rsid w:val="00B16920"/>
    <w:rsid w:val="00B169CB"/>
    <w:rsid w:val="00B209F9"/>
    <w:rsid w:val="00B21C6B"/>
    <w:rsid w:val="00B30A78"/>
    <w:rsid w:val="00B36D96"/>
    <w:rsid w:val="00B378CD"/>
    <w:rsid w:val="00B37CAC"/>
    <w:rsid w:val="00B40E36"/>
    <w:rsid w:val="00B40E6C"/>
    <w:rsid w:val="00B42985"/>
    <w:rsid w:val="00B44187"/>
    <w:rsid w:val="00B45E04"/>
    <w:rsid w:val="00B5013A"/>
    <w:rsid w:val="00B52DA9"/>
    <w:rsid w:val="00B54CB2"/>
    <w:rsid w:val="00B5614B"/>
    <w:rsid w:val="00B63A10"/>
    <w:rsid w:val="00B648AD"/>
    <w:rsid w:val="00B65448"/>
    <w:rsid w:val="00B65611"/>
    <w:rsid w:val="00B6575B"/>
    <w:rsid w:val="00B67328"/>
    <w:rsid w:val="00B744E3"/>
    <w:rsid w:val="00B752ED"/>
    <w:rsid w:val="00B77BE7"/>
    <w:rsid w:val="00B82491"/>
    <w:rsid w:val="00B83568"/>
    <w:rsid w:val="00B849DB"/>
    <w:rsid w:val="00B85608"/>
    <w:rsid w:val="00B866C5"/>
    <w:rsid w:val="00B92FAE"/>
    <w:rsid w:val="00B93C92"/>
    <w:rsid w:val="00B9446C"/>
    <w:rsid w:val="00B96E97"/>
    <w:rsid w:val="00BA5ABC"/>
    <w:rsid w:val="00BA5C30"/>
    <w:rsid w:val="00BB45B0"/>
    <w:rsid w:val="00BC30A8"/>
    <w:rsid w:val="00BC324B"/>
    <w:rsid w:val="00BC339F"/>
    <w:rsid w:val="00BC4A35"/>
    <w:rsid w:val="00BC4B41"/>
    <w:rsid w:val="00BD09CA"/>
    <w:rsid w:val="00BD2AD2"/>
    <w:rsid w:val="00BD34D1"/>
    <w:rsid w:val="00BD7A21"/>
    <w:rsid w:val="00BE06D7"/>
    <w:rsid w:val="00BE2BB9"/>
    <w:rsid w:val="00BE2E21"/>
    <w:rsid w:val="00BE4F75"/>
    <w:rsid w:val="00BE5972"/>
    <w:rsid w:val="00BE5AEA"/>
    <w:rsid w:val="00BE635D"/>
    <w:rsid w:val="00BE7FBC"/>
    <w:rsid w:val="00BF0A0D"/>
    <w:rsid w:val="00BF13EB"/>
    <w:rsid w:val="00BF34EF"/>
    <w:rsid w:val="00BF6A4C"/>
    <w:rsid w:val="00C00644"/>
    <w:rsid w:val="00C01AB2"/>
    <w:rsid w:val="00C047D3"/>
    <w:rsid w:val="00C0485E"/>
    <w:rsid w:val="00C06753"/>
    <w:rsid w:val="00C069E0"/>
    <w:rsid w:val="00C1035B"/>
    <w:rsid w:val="00C108A0"/>
    <w:rsid w:val="00C14041"/>
    <w:rsid w:val="00C14F79"/>
    <w:rsid w:val="00C15465"/>
    <w:rsid w:val="00C20A3A"/>
    <w:rsid w:val="00C2349C"/>
    <w:rsid w:val="00C24BA7"/>
    <w:rsid w:val="00C254EA"/>
    <w:rsid w:val="00C27044"/>
    <w:rsid w:val="00C31F6B"/>
    <w:rsid w:val="00C31F74"/>
    <w:rsid w:val="00C32A71"/>
    <w:rsid w:val="00C33C07"/>
    <w:rsid w:val="00C34ABE"/>
    <w:rsid w:val="00C37995"/>
    <w:rsid w:val="00C42EF9"/>
    <w:rsid w:val="00C43379"/>
    <w:rsid w:val="00C4527F"/>
    <w:rsid w:val="00C50D64"/>
    <w:rsid w:val="00C514F4"/>
    <w:rsid w:val="00C51DDB"/>
    <w:rsid w:val="00C57E91"/>
    <w:rsid w:val="00C62022"/>
    <w:rsid w:val="00C62265"/>
    <w:rsid w:val="00C62928"/>
    <w:rsid w:val="00C6363F"/>
    <w:rsid w:val="00C64FEB"/>
    <w:rsid w:val="00C75C76"/>
    <w:rsid w:val="00C77308"/>
    <w:rsid w:val="00C77574"/>
    <w:rsid w:val="00C77CAB"/>
    <w:rsid w:val="00C828A8"/>
    <w:rsid w:val="00C83644"/>
    <w:rsid w:val="00C872B2"/>
    <w:rsid w:val="00C90451"/>
    <w:rsid w:val="00C9124C"/>
    <w:rsid w:val="00C92A3D"/>
    <w:rsid w:val="00C93094"/>
    <w:rsid w:val="00C93AC5"/>
    <w:rsid w:val="00C93EB2"/>
    <w:rsid w:val="00C9648B"/>
    <w:rsid w:val="00C96BE9"/>
    <w:rsid w:val="00CA28E4"/>
    <w:rsid w:val="00CA2C44"/>
    <w:rsid w:val="00CA710E"/>
    <w:rsid w:val="00CB04D2"/>
    <w:rsid w:val="00CB1DF7"/>
    <w:rsid w:val="00CB70B2"/>
    <w:rsid w:val="00CC150C"/>
    <w:rsid w:val="00CC2DD8"/>
    <w:rsid w:val="00CC33AF"/>
    <w:rsid w:val="00CC4180"/>
    <w:rsid w:val="00CC438E"/>
    <w:rsid w:val="00CC4ABC"/>
    <w:rsid w:val="00CC5875"/>
    <w:rsid w:val="00CD2240"/>
    <w:rsid w:val="00CD243F"/>
    <w:rsid w:val="00CD36E4"/>
    <w:rsid w:val="00CD4E69"/>
    <w:rsid w:val="00CD7562"/>
    <w:rsid w:val="00CE1CF8"/>
    <w:rsid w:val="00CE3238"/>
    <w:rsid w:val="00CF1BBB"/>
    <w:rsid w:val="00CF342E"/>
    <w:rsid w:val="00CF7208"/>
    <w:rsid w:val="00D03457"/>
    <w:rsid w:val="00D0569F"/>
    <w:rsid w:val="00D06287"/>
    <w:rsid w:val="00D07213"/>
    <w:rsid w:val="00D07D42"/>
    <w:rsid w:val="00D12F93"/>
    <w:rsid w:val="00D17500"/>
    <w:rsid w:val="00D22230"/>
    <w:rsid w:val="00D2497A"/>
    <w:rsid w:val="00D24D8C"/>
    <w:rsid w:val="00D25D9E"/>
    <w:rsid w:val="00D26B79"/>
    <w:rsid w:val="00D30DD4"/>
    <w:rsid w:val="00D31D98"/>
    <w:rsid w:val="00D32B27"/>
    <w:rsid w:val="00D33533"/>
    <w:rsid w:val="00D34576"/>
    <w:rsid w:val="00D3602F"/>
    <w:rsid w:val="00D37BF2"/>
    <w:rsid w:val="00D400E2"/>
    <w:rsid w:val="00D422A1"/>
    <w:rsid w:val="00D44A4C"/>
    <w:rsid w:val="00D46254"/>
    <w:rsid w:val="00D4769C"/>
    <w:rsid w:val="00D479BE"/>
    <w:rsid w:val="00D578E9"/>
    <w:rsid w:val="00D619E3"/>
    <w:rsid w:val="00D62A84"/>
    <w:rsid w:val="00D714B3"/>
    <w:rsid w:val="00D75086"/>
    <w:rsid w:val="00D76679"/>
    <w:rsid w:val="00D803DA"/>
    <w:rsid w:val="00D85045"/>
    <w:rsid w:val="00D86C24"/>
    <w:rsid w:val="00D974F3"/>
    <w:rsid w:val="00DA44BE"/>
    <w:rsid w:val="00DA4710"/>
    <w:rsid w:val="00DA4BB1"/>
    <w:rsid w:val="00DB3CD7"/>
    <w:rsid w:val="00DB53C2"/>
    <w:rsid w:val="00DC0BCA"/>
    <w:rsid w:val="00DC10A0"/>
    <w:rsid w:val="00DC15E7"/>
    <w:rsid w:val="00DC53D9"/>
    <w:rsid w:val="00DC6D84"/>
    <w:rsid w:val="00DD333C"/>
    <w:rsid w:val="00DD5177"/>
    <w:rsid w:val="00DD656B"/>
    <w:rsid w:val="00DE3389"/>
    <w:rsid w:val="00DE6911"/>
    <w:rsid w:val="00DE756C"/>
    <w:rsid w:val="00DE7A32"/>
    <w:rsid w:val="00DF121C"/>
    <w:rsid w:val="00DF150B"/>
    <w:rsid w:val="00DF1ED1"/>
    <w:rsid w:val="00DF54A7"/>
    <w:rsid w:val="00DF5A37"/>
    <w:rsid w:val="00DF7E9B"/>
    <w:rsid w:val="00E02610"/>
    <w:rsid w:val="00E04333"/>
    <w:rsid w:val="00E15B3D"/>
    <w:rsid w:val="00E16BB6"/>
    <w:rsid w:val="00E23A54"/>
    <w:rsid w:val="00E25F57"/>
    <w:rsid w:val="00E26BEB"/>
    <w:rsid w:val="00E27BAE"/>
    <w:rsid w:val="00E40EE2"/>
    <w:rsid w:val="00E42342"/>
    <w:rsid w:val="00E44B4F"/>
    <w:rsid w:val="00E47AD2"/>
    <w:rsid w:val="00E47EDA"/>
    <w:rsid w:val="00E55A35"/>
    <w:rsid w:val="00E56F1F"/>
    <w:rsid w:val="00E615CB"/>
    <w:rsid w:val="00E6239F"/>
    <w:rsid w:val="00E627C7"/>
    <w:rsid w:val="00E715A0"/>
    <w:rsid w:val="00E75B18"/>
    <w:rsid w:val="00E775E3"/>
    <w:rsid w:val="00E80EBA"/>
    <w:rsid w:val="00E82EBD"/>
    <w:rsid w:val="00E91F3B"/>
    <w:rsid w:val="00EA1CAC"/>
    <w:rsid w:val="00EA320E"/>
    <w:rsid w:val="00EB0A80"/>
    <w:rsid w:val="00EB3C75"/>
    <w:rsid w:val="00ED595E"/>
    <w:rsid w:val="00ED7DC7"/>
    <w:rsid w:val="00EE1352"/>
    <w:rsid w:val="00EE2A3B"/>
    <w:rsid w:val="00EE31AD"/>
    <w:rsid w:val="00EE5019"/>
    <w:rsid w:val="00EE6E5C"/>
    <w:rsid w:val="00EE7D23"/>
    <w:rsid w:val="00EF0639"/>
    <w:rsid w:val="00EF0FC4"/>
    <w:rsid w:val="00EF529A"/>
    <w:rsid w:val="00EF5C0D"/>
    <w:rsid w:val="00EF71F7"/>
    <w:rsid w:val="00EF72B9"/>
    <w:rsid w:val="00F03302"/>
    <w:rsid w:val="00F04538"/>
    <w:rsid w:val="00F045AA"/>
    <w:rsid w:val="00F11723"/>
    <w:rsid w:val="00F12467"/>
    <w:rsid w:val="00F13D3D"/>
    <w:rsid w:val="00F1571C"/>
    <w:rsid w:val="00F1594F"/>
    <w:rsid w:val="00F15E53"/>
    <w:rsid w:val="00F21F30"/>
    <w:rsid w:val="00F23DDE"/>
    <w:rsid w:val="00F2679A"/>
    <w:rsid w:val="00F30490"/>
    <w:rsid w:val="00F30B9E"/>
    <w:rsid w:val="00F30DD0"/>
    <w:rsid w:val="00F31626"/>
    <w:rsid w:val="00F338B8"/>
    <w:rsid w:val="00F36325"/>
    <w:rsid w:val="00F42686"/>
    <w:rsid w:val="00F45122"/>
    <w:rsid w:val="00F510F7"/>
    <w:rsid w:val="00F52BF4"/>
    <w:rsid w:val="00F55BD1"/>
    <w:rsid w:val="00F57128"/>
    <w:rsid w:val="00F57DD7"/>
    <w:rsid w:val="00F57EA9"/>
    <w:rsid w:val="00F62087"/>
    <w:rsid w:val="00F64F8B"/>
    <w:rsid w:val="00F66269"/>
    <w:rsid w:val="00F6718B"/>
    <w:rsid w:val="00F70C5A"/>
    <w:rsid w:val="00F72B89"/>
    <w:rsid w:val="00F76F7E"/>
    <w:rsid w:val="00F80062"/>
    <w:rsid w:val="00F80412"/>
    <w:rsid w:val="00F81D64"/>
    <w:rsid w:val="00F8215E"/>
    <w:rsid w:val="00F8756C"/>
    <w:rsid w:val="00F91856"/>
    <w:rsid w:val="00FA0BA3"/>
    <w:rsid w:val="00FA1CED"/>
    <w:rsid w:val="00FB4E63"/>
    <w:rsid w:val="00FB53B3"/>
    <w:rsid w:val="00FC01CC"/>
    <w:rsid w:val="00FC2F07"/>
    <w:rsid w:val="00FC4ACD"/>
    <w:rsid w:val="00FD3675"/>
    <w:rsid w:val="00FD4890"/>
    <w:rsid w:val="00FD68D4"/>
    <w:rsid w:val="00FD6A29"/>
    <w:rsid w:val="00FE185B"/>
    <w:rsid w:val="00FE2B5E"/>
    <w:rsid w:val="00FE2E92"/>
    <w:rsid w:val="00FE30B0"/>
    <w:rsid w:val="00FE3E83"/>
    <w:rsid w:val="00FF01A3"/>
    <w:rsid w:val="00FF0AC0"/>
    <w:rsid w:val="00FF4E7F"/>
    <w:rsid w:val="4C8C2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nhideWhenUsed="0" w:uiPriority="99" w:semiHidden="0" w:name="Body Text First Indent"/>
    <w:lsdException w:uiPriority="99" w:name="Body Text First Indent 2"/>
    <w:lsdException w:uiPriority="99" w:name="Note Heading"/>
    <w:lsdException w:uiPriority="99" w:semiHidden="0" w:name="Body Text 2"/>
    <w:lsdException w:qFormat="1" w:uiPriority="99" w:name="Body Text 3"/>
    <w:lsdException w:qFormat="1"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2"/>
    <w:qFormat/>
    <w:uiPriority w:val="9"/>
    <w:pPr>
      <w:keepNext/>
      <w:keepLines/>
      <w:widowControl/>
      <w:spacing w:before="340" w:after="330" w:line="578" w:lineRule="auto"/>
      <w:jc w:val="left"/>
      <w:outlineLvl w:val="0"/>
    </w:pPr>
    <w:rPr>
      <w:b/>
      <w:bCs/>
      <w:kern w:val="44"/>
      <w:sz w:val="44"/>
      <w:szCs w:val="44"/>
    </w:rPr>
  </w:style>
  <w:style w:type="paragraph" w:styleId="3">
    <w:name w:val="heading 2"/>
    <w:basedOn w:val="1"/>
    <w:next w:val="1"/>
    <w:link w:val="33"/>
    <w:qFormat/>
    <w:uiPriority w:val="0"/>
    <w:pPr>
      <w:keepNext/>
      <w:spacing w:line="500" w:lineRule="exact"/>
      <w:ind w:firstLine="280" w:firstLineChars="100"/>
      <w:jc w:val="center"/>
      <w:outlineLvl w:val="1"/>
    </w:pPr>
    <w:rPr>
      <w:rFonts w:ascii="Times New Roman" w:hAnsi="Times New Roman"/>
      <w:sz w:val="28"/>
      <w:szCs w:val="28"/>
    </w:rPr>
  </w:style>
  <w:style w:type="paragraph" w:styleId="4">
    <w:name w:val="heading 3"/>
    <w:basedOn w:val="1"/>
    <w:next w:val="1"/>
    <w:link w:val="34"/>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35"/>
    <w:qFormat/>
    <w:uiPriority w:val="9"/>
    <w:pPr>
      <w:keepNext/>
      <w:keepLines/>
      <w:spacing w:before="400" w:after="410"/>
      <w:outlineLvl w:val="3"/>
    </w:pPr>
    <w:rPr>
      <w:rFonts w:ascii="Arial" w:hAnsi="Arial"/>
      <w:b/>
      <w:sz w:val="30"/>
      <w:szCs w:val="24"/>
    </w:rPr>
  </w:style>
  <w:style w:type="paragraph" w:styleId="6">
    <w:name w:val="heading 5"/>
    <w:basedOn w:val="1"/>
    <w:next w:val="1"/>
    <w:link w:val="36"/>
    <w:semiHidden/>
    <w:unhideWhenUsed/>
    <w:qFormat/>
    <w:uiPriority w:val="9"/>
    <w:pPr>
      <w:keepNext/>
      <w:keepLines/>
      <w:spacing w:before="280" w:after="290" w:line="376" w:lineRule="auto"/>
      <w:outlineLvl w:val="4"/>
    </w:pPr>
    <w:rPr>
      <w:b/>
      <w:bCs/>
      <w:sz w:val="28"/>
      <w:szCs w:val="28"/>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7">
    <w:name w:val="Normal Indent"/>
    <w:basedOn w:val="1"/>
    <w:link w:val="51"/>
    <w:qFormat/>
    <w:uiPriority w:val="0"/>
    <w:pPr>
      <w:ind w:firstLine="420"/>
    </w:pPr>
    <w:rPr>
      <w:rFonts w:eastAsia="仿宋_GB2312" w:asciiTheme="minorHAnsi" w:hAnsiTheme="minorHAnsi" w:cstheme="minorBidi"/>
    </w:rPr>
  </w:style>
  <w:style w:type="paragraph" w:styleId="8">
    <w:name w:val="annotation text"/>
    <w:basedOn w:val="1"/>
    <w:link w:val="134"/>
    <w:semiHidden/>
    <w:unhideWhenUsed/>
    <w:qFormat/>
    <w:uiPriority w:val="99"/>
    <w:pPr>
      <w:widowControl/>
      <w:jc w:val="left"/>
    </w:pPr>
  </w:style>
  <w:style w:type="paragraph" w:styleId="9">
    <w:name w:val="Body Text 3"/>
    <w:basedOn w:val="1"/>
    <w:link w:val="89"/>
    <w:semiHidden/>
    <w:unhideWhenUsed/>
    <w:qFormat/>
    <w:uiPriority w:val="99"/>
    <w:pPr>
      <w:widowControl/>
      <w:spacing w:after="120"/>
      <w:jc w:val="left"/>
    </w:pPr>
    <w:rPr>
      <w:sz w:val="16"/>
      <w:szCs w:val="16"/>
    </w:rPr>
  </w:style>
  <w:style w:type="paragraph" w:styleId="10">
    <w:name w:val="Body Text"/>
    <w:basedOn w:val="1"/>
    <w:link w:val="46"/>
    <w:semiHidden/>
    <w:unhideWhenUsed/>
    <w:uiPriority w:val="99"/>
    <w:pPr>
      <w:spacing w:after="120"/>
    </w:pPr>
  </w:style>
  <w:style w:type="paragraph" w:styleId="11">
    <w:name w:val="Body Text Indent"/>
    <w:basedOn w:val="1"/>
    <w:link w:val="50"/>
    <w:unhideWhenUsed/>
    <w:qFormat/>
    <w:uiPriority w:val="99"/>
    <w:pPr>
      <w:spacing w:after="120"/>
      <w:ind w:left="420" w:leftChars="200"/>
    </w:pPr>
  </w:style>
  <w:style w:type="paragraph" w:styleId="12">
    <w:name w:val="Plain Text"/>
    <w:basedOn w:val="1"/>
    <w:link w:val="48"/>
    <w:qFormat/>
    <w:uiPriority w:val="0"/>
    <w:rPr>
      <w:rFonts w:ascii="宋体" w:hAnsi="Courier New" w:cs="Courier New"/>
      <w:szCs w:val="21"/>
    </w:rPr>
  </w:style>
  <w:style w:type="paragraph" w:styleId="13">
    <w:name w:val="Date"/>
    <w:basedOn w:val="1"/>
    <w:next w:val="1"/>
    <w:link w:val="79"/>
    <w:uiPriority w:val="0"/>
    <w:pPr>
      <w:widowControl/>
      <w:ind w:left="100" w:leftChars="2500"/>
      <w:jc w:val="left"/>
    </w:pPr>
    <w:rPr>
      <w:rFonts w:ascii="Times New Roman" w:hAnsi="Times New Roman"/>
      <w:b/>
      <w:bCs/>
      <w:sz w:val="32"/>
      <w:szCs w:val="24"/>
      <w:lang w:val="zh-CN" w:eastAsia="zh-CN"/>
    </w:rPr>
  </w:style>
  <w:style w:type="paragraph" w:styleId="14">
    <w:name w:val="Body Text Indent 2"/>
    <w:basedOn w:val="1"/>
    <w:link w:val="155"/>
    <w:semiHidden/>
    <w:unhideWhenUsed/>
    <w:qFormat/>
    <w:uiPriority w:val="99"/>
    <w:pPr>
      <w:spacing w:after="120" w:line="480" w:lineRule="auto"/>
      <w:ind w:left="420" w:leftChars="200"/>
    </w:pPr>
  </w:style>
  <w:style w:type="paragraph" w:styleId="15">
    <w:name w:val="Balloon Text"/>
    <w:basedOn w:val="1"/>
    <w:link w:val="41"/>
    <w:semiHidden/>
    <w:unhideWhenUsed/>
    <w:uiPriority w:val="99"/>
    <w:rPr>
      <w:sz w:val="18"/>
      <w:szCs w:val="18"/>
    </w:rPr>
  </w:style>
  <w:style w:type="paragraph" w:styleId="16">
    <w:name w:val="footer"/>
    <w:basedOn w:val="1"/>
    <w:link w:val="3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7">
    <w:name w:val="header"/>
    <w:basedOn w:val="1"/>
    <w:link w:val="3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8">
    <w:name w:val="toc 1"/>
    <w:basedOn w:val="1"/>
    <w:next w:val="1"/>
    <w:qFormat/>
    <w:uiPriority w:val="39"/>
    <w:pPr>
      <w:tabs>
        <w:tab w:val="right" w:leader="hyphen" w:pos="9060"/>
      </w:tabs>
    </w:pPr>
    <w:rPr>
      <w:rFonts w:ascii="Times New Roman" w:hAnsi="Times New Roman"/>
      <w:szCs w:val="24"/>
    </w:rPr>
  </w:style>
  <w:style w:type="paragraph" w:styleId="19">
    <w:name w:val="List"/>
    <w:basedOn w:val="1"/>
    <w:qFormat/>
    <w:uiPriority w:val="0"/>
    <w:pPr>
      <w:spacing w:line="360" w:lineRule="exact"/>
      <w:jc w:val="center"/>
    </w:pPr>
    <w:rPr>
      <w:rFonts w:ascii="仿宋_GB2312" w:hAnsi="Times New Roman" w:eastAsia="仿宋_GB2312"/>
      <w:sz w:val="28"/>
      <w:szCs w:val="20"/>
    </w:rPr>
  </w:style>
  <w:style w:type="paragraph" w:styleId="20">
    <w:name w:val="toc 2"/>
    <w:basedOn w:val="1"/>
    <w:next w:val="1"/>
    <w:unhideWhenUsed/>
    <w:uiPriority w:val="39"/>
    <w:pPr>
      <w:widowControl/>
      <w:ind w:left="420" w:leftChars="200"/>
      <w:jc w:val="left"/>
    </w:pPr>
    <w:rPr>
      <w:sz w:val="24"/>
    </w:rPr>
  </w:style>
  <w:style w:type="paragraph" w:styleId="21">
    <w:name w:val="Body Text 2"/>
    <w:basedOn w:val="1"/>
    <w:link w:val="43"/>
    <w:unhideWhenUsed/>
    <w:uiPriority w:val="99"/>
    <w:pPr>
      <w:spacing w:after="120" w:line="480" w:lineRule="auto"/>
    </w:pPr>
  </w:style>
  <w:style w:type="paragraph" w:styleId="22">
    <w:name w:val="Normal (Web)"/>
    <w:basedOn w:val="1"/>
    <w:link w:val="78"/>
    <w:uiPriority w:val="99"/>
    <w:pPr>
      <w:widowControl/>
      <w:spacing w:before="100" w:beforeAutospacing="1" w:after="100" w:afterAutospacing="1"/>
      <w:jc w:val="left"/>
    </w:pPr>
    <w:rPr>
      <w:rFonts w:ascii="宋体" w:hAnsi="宋体"/>
      <w:kern w:val="0"/>
      <w:sz w:val="24"/>
      <w:szCs w:val="24"/>
      <w:lang w:val="zh-CN" w:eastAsia="zh-CN"/>
    </w:rPr>
  </w:style>
  <w:style w:type="paragraph" w:styleId="23">
    <w:name w:val="Title"/>
    <w:basedOn w:val="1"/>
    <w:next w:val="1"/>
    <w:link w:val="80"/>
    <w:qFormat/>
    <w:uiPriority w:val="0"/>
    <w:pPr>
      <w:widowControl/>
      <w:adjustRightInd w:val="0"/>
      <w:snapToGrid w:val="0"/>
      <w:spacing w:line="480" w:lineRule="exact"/>
      <w:ind w:firstLine="560" w:firstLineChars="200"/>
      <w:jc w:val="left"/>
    </w:pPr>
    <w:rPr>
      <w:rFonts w:ascii="仿宋_GB2312" w:eastAsia="仿宋_GB2312" w:hAnsiTheme="minorHAnsi" w:cstheme="minorBidi"/>
      <w:color w:val="000000"/>
      <w:sz w:val="28"/>
      <w:szCs w:val="28"/>
    </w:rPr>
  </w:style>
  <w:style w:type="paragraph" w:styleId="24">
    <w:name w:val="annotation subject"/>
    <w:basedOn w:val="8"/>
    <w:next w:val="8"/>
    <w:link w:val="135"/>
    <w:semiHidden/>
    <w:unhideWhenUsed/>
    <w:qFormat/>
    <w:uiPriority w:val="99"/>
    <w:rPr>
      <w:b/>
      <w:bCs/>
    </w:rPr>
  </w:style>
  <w:style w:type="paragraph" w:styleId="25">
    <w:name w:val="Body Text First Indent"/>
    <w:basedOn w:val="10"/>
    <w:link w:val="52"/>
    <w:uiPriority w:val="99"/>
    <w:pPr>
      <w:ind w:firstLine="420" w:firstLineChars="100"/>
    </w:pPr>
    <w:rPr>
      <w:rFonts w:ascii="Times New Roman" w:hAnsi="Times New Roman"/>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uiPriority w:val="0"/>
  </w:style>
  <w:style w:type="character" w:styleId="30">
    <w:name w:val="Hyperlink"/>
    <w:qFormat/>
    <w:uiPriority w:val="99"/>
    <w:rPr>
      <w:color w:val="0000FF"/>
      <w:u w:val="single"/>
    </w:rPr>
  </w:style>
  <w:style w:type="character" w:styleId="31">
    <w:name w:val="annotation reference"/>
    <w:basedOn w:val="28"/>
    <w:semiHidden/>
    <w:unhideWhenUsed/>
    <w:qFormat/>
    <w:uiPriority w:val="99"/>
    <w:rPr>
      <w:sz w:val="21"/>
      <w:szCs w:val="21"/>
    </w:rPr>
  </w:style>
  <w:style w:type="character" w:customStyle="1" w:styleId="32">
    <w:name w:val="标题 1 Char"/>
    <w:basedOn w:val="28"/>
    <w:link w:val="2"/>
    <w:uiPriority w:val="9"/>
    <w:rPr>
      <w:rFonts w:ascii="Calibri" w:hAnsi="Calibri" w:eastAsia="宋体" w:cs="Times New Roman"/>
      <w:b/>
      <w:bCs/>
      <w:kern w:val="44"/>
      <w:sz w:val="44"/>
      <w:szCs w:val="44"/>
    </w:rPr>
  </w:style>
  <w:style w:type="character" w:customStyle="1" w:styleId="33">
    <w:name w:val="标题 2 Char"/>
    <w:basedOn w:val="28"/>
    <w:link w:val="3"/>
    <w:uiPriority w:val="0"/>
    <w:rPr>
      <w:rFonts w:ascii="Times New Roman" w:hAnsi="Times New Roman" w:eastAsia="宋体" w:cs="Times New Roman"/>
      <w:sz w:val="28"/>
      <w:szCs w:val="28"/>
    </w:rPr>
  </w:style>
  <w:style w:type="character" w:customStyle="1" w:styleId="34">
    <w:name w:val="标题 3 Char"/>
    <w:basedOn w:val="28"/>
    <w:link w:val="4"/>
    <w:semiHidden/>
    <w:uiPriority w:val="9"/>
    <w:rPr>
      <w:rFonts w:ascii="Calibri" w:hAnsi="Calibri" w:eastAsia="宋体" w:cs="Times New Roman"/>
      <w:b/>
      <w:bCs/>
      <w:sz w:val="32"/>
      <w:szCs w:val="32"/>
    </w:rPr>
  </w:style>
  <w:style w:type="character" w:customStyle="1" w:styleId="35">
    <w:name w:val="标题 4 Char"/>
    <w:basedOn w:val="28"/>
    <w:link w:val="5"/>
    <w:qFormat/>
    <w:uiPriority w:val="9"/>
    <w:rPr>
      <w:rFonts w:ascii="Arial" w:hAnsi="Arial" w:eastAsia="宋体" w:cs="Times New Roman"/>
      <w:b/>
      <w:sz w:val="30"/>
      <w:szCs w:val="24"/>
    </w:rPr>
  </w:style>
  <w:style w:type="character" w:customStyle="1" w:styleId="36">
    <w:name w:val="标题 5 Char"/>
    <w:basedOn w:val="28"/>
    <w:link w:val="6"/>
    <w:semiHidden/>
    <w:qFormat/>
    <w:uiPriority w:val="9"/>
    <w:rPr>
      <w:rFonts w:ascii="Calibri" w:hAnsi="Calibri" w:eastAsia="宋体" w:cs="Times New Roman"/>
      <w:b/>
      <w:bCs/>
      <w:sz w:val="28"/>
      <w:szCs w:val="28"/>
    </w:rPr>
  </w:style>
  <w:style w:type="character" w:customStyle="1" w:styleId="37">
    <w:name w:val="页眉 Char"/>
    <w:basedOn w:val="28"/>
    <w:link w:val="17"/>
    <w:uiPriority w:val="99"/>
    <w:rPr>
      <w:sz w:val="18"/>
      <w:szCs w:val="18"/>
    </w:rPr>
  </w:style>
  <w:style w:type="character" w:customStyle="1" w:styleId="38">
    <w:name w:val="页脚 Char"/>
    <w:basedOn w:val="28"/>
    <w:link w:val="16"/>
    <w:qFormat/>
    <w:uiPriority w:val="99"/>
    <w:rPr>
      <w:sz w:val="18"/>
      <w:szCs w:val="18"/>
    </w:rPr>
  </w:style>
  <w:style w:type="character" w:customStyle="1" w:styleId="39">
    <w:name w:val="a表格 Char"/>
    <w:link w:val="40"/>
    <w:qFormat/>
    <w:uiPriority w:val="0"/>
    <w:rPr>
      <w:szCs w:val="21"/>
    </w:rPr>
  </w:style>
  <w:style w:type="paragraph" w:customStyle="1" w:styleId="40">
    <w:name w:val="a表格"/>
    <w:basedOn w:val="1"/>
    <w:link w:val="39"/>
    <w:qFormat/>
    <w:uiPriority w:val="0"/>
    <w:pPr>
      <w:jc w:val="center"/>
    </w:pPr>
    <w:rPr>
      <w:rFonts w:asciiTheme="minorHAnsi" w:hAnsiTheme="minorHAnsi" w:eastAsiaTheme="minorEastAsia" w:cstheme="minorBidi"/>
      <w:szCs w:val="21"/>
    </w:rPr>
  </w:style>
  <w:style w:type="character" w:customStyle="1" w:styleId="41">
    <w:name w:val="批注框文本 Char"/>
    <w:basedOn w:val="28"/>
    <w:link w:val="15"/>
    <w:semiHidden/>
    <w:uiPriority w:val="99"/>
    <w:rPr>
      <w:rFonts w:ascii="Calibri" w:hAnsi="Calibri" w:eastAsia="宋体" w:cs="Times New Roman"/>
      <w:sz w:val="18"/>
      <w:szCs w:val="18"/>
    </w:rPr>
  </w:style>
  <w:style w:type="paragraph" w:customStyle="1" w:styleId="42">
    <w:name w:val="内容名称"/>
    <w:basedOn w:val="1"/>
    <w:uiPriority w:val="0"/>
    <w:pPr>
      <w:spacing w:line="440" w:lineRule="exact"/>
    </w:pPr>
    <w:rPr>
      <w:rFonts w:ascii="Times New Roman" w:hAnsi="Times New Roman"/>
      <w:b/>
      <w:sz w:val="28"/>
      <w:szCs w:val="28"/>
    </w:rPr>
  </w:style>
  <w:style w:type="character" w:customStyle="1" w:styleId="43">
    <w:name w:val="正文文本 2 Char"/>
    <w:basedOn w:val="28"/>
    <w:link w:val="21"/>
    <w:uiPriority w:val="99"/>
    <w:rPr>
      <w:rFonts w:ascii="Calibri" w:hAnsi="Calibri" w:eastAsia="宋体" w:cs="Times New Roman"/>
    </w:rPr>
  </w:style>
  <w:style w:type="character" w:customStyle="1" w:styleId="44">
    <w:name w:val="fontstyle01"/>
    <w:basedOn w:val="28"/>
    <w:uiPriority w:val="0"/>
    <w:rPr>
      <w:rFonts w:hint="eastAsia" w:ascii="宋体" w:hAnsi="宋体" w:eastAsia="宋体"/>
      <w:color w:val="000000"/>
      <w:sz w:val="22"/>
      <w:szCs w:val="22"/>
    </w:rPr>
  </w:style>
  <w:style w:type="character" w:customStyle="1" w:styleId="45">
    <w:name w:val="fontstyle21"/>
    <w:basedOn w:val="28"/>
    <w:uiPriority w:val="0"/>
    <w:rPr>
      <w:rFonts w:hint="default" w:ascii="TimesNewRomanPSMT" w:hAnsi="TimesNewRomanPSMT"/>
      <w:color w:val="000000"/>
      <w:sz w:val="22"/>
      <w:szCs w:val="22"/>
    </w:rPr>
  </w:style>
  <w:style w:type="character" w:customStyle="1" w:styleId="46">
    <w:name w:val="正文文本 Char"/>
    <w:basedOn w:val="28"/>
    <w:link w:val="10"/>
    <w:semiHidden/>
    <w:uiPriority w:val="99"/>
    <w:rPr>
      <w:rFonts w:ascii="Calibri" w:hAnsi="Calibri" w:eastAsia="宋体" w:cs="Times New Roman"/>
    </w:rPr>
  </w:style>
  <w:style w:type="paragraph" w:customStyle="1" w:styleId="47">
    <w:name w:val="Default"/>
    <w:qFormat/>
    <w:uiPriority w:val="0"/>
    <w:pPr>
      <w:widowControl w:val="0"/>
      <w:autoSpaceDE w:val="0"/>
      <w:autoSpaceDN w:val="0"/>
      <w:adjustRightInd w:val="0"/>
    </w:pPr>
    <w:rPr>
      <w:rFonts w:ascii="仿宋_GB2312" w:hAnsi="Times New Roman" w:eastAsia="仿宋_GB2312" w:cs="Times New Roman"/>
      <w:color w:val="000000"/>
      <w:kern w:val="0"/>
      <w:sz w:val="24"/>
      <w:szCs w:val="24"/>
      <w:lang w:val="en-US" w:eastAsia="zh-CN" w:bidi="ar-SA"/>
    </w:rPr>
  </w:style>
  <w:style w:type="character" w:customStyle="1" w:styleId="48">
    <w:name w:val="纯文本 Char"/>
    <w:basedOn w:val="28"/>
    <w:link w:val="12"/>
    <w:qFormat/>
    <w:uiPriority w:val="0"/>
    <w:rPr>
      <w:rFonts w:ascii="宋体" w:hAnsi="Courier New" w:eastAsia="宋体" w:cs="Courier New"/>
      <w:szCs w:val="21"/>
    </w:rPr>
  </w:style>
  <w:style w:type="paragraph" w:customStyle="1" w:styleId="49">
    <w:name w:val="正文2"/>
    <w:basedOn w:val="1"/>
    <w:qFormat/>
    <w:uiPriority w:val="0"/>
    <w:pPr>
      <w:snapToGrid w:val="0"/>
      <w:spacing w:line="500" w:lineRule="atLeast"/>
      <w:ind w:firstLine="567"/>
    </w:pPr>
    <w:rPr>
      <w:rFonts w:ascii="Times New Roman" w:hAnsi="Times New Roman"/>
      <w:sz w:val="24"/>
      <w:szCs w:val="20"/>
    </w:rPr>
  </w:style>
  <w:style w:type="character" w:customStyle="1" w:styleId="50">
    <w:name w:val="正文文本缩进 Char"/>
    <w:basedOn w:val="28"/>
    <w:link w:val="11"/>
    <w:qFormat/>
    <w:uiPriority w:val="99"/>
    <w:rPr>
      <w:rFonts w:ascii="Calibri" w:hAnsi="Calibri" w:eastAsia="宋体" w:cs="Times New Roman"/>
    </w:rPr>
  </w:style>
  <w:style w:type="character" w:customStyle="1" w:styleId="51">
    <w:name w:val="正文缩进 Char"/>
    <w:basedOn w:val="28"/>
    <w:link w:val="7"/>
    <w:qFormat/>
    <w:uiPriority w:val="0"/>
    <w:rPr>
      <w:rFonts w:eastAsia="仿宋_GB2312"/>
    </w:rPr>
  </w:style>
  <w:style w:type="character" w:customStyle="1" w:styleId="52">
    <w:name w:val="正文首行缩进 Char"/>
    <w:basedOn w:val="46"/>
    <w:link w:val="25"/>
    <w:qFormat/>
    <w:uiPriority w:val="99"/>
    <w:rPr>
      <w:rFonts w:ascii="Times New Roman" w:hAnsi="Times New Roman" w:eastAsia="宋体" w:cs="Times New Roman"/>
      <w:szCs w:val="24"/>
    </w:rPr>
  </w:style>
  <w:style w:type="character" w:customStyle="1" w:styleId="53">
    <w:name w:val="a Char"/>
    <w:link w:val="54"/>
    <w:qFormat/>
    <w:locked/>
    <w:uiPriority w:val="0"/>
    <w:rPr>
      <w:rFonts w:ascii="宋体" w:hAnsi="宋体" w:eastAsia="宋体" w:cs="Courier New"/>
      <w:b/>
      <w:bCs/>
      <w:sz w:val="28"/>
      <w:szCs w:val="21"/>
    </w:rPr>
  </w:style>
  <w:style w:type="paragraph" w:customStyle="1" w:styleId="54">
    <w:name w:val="a"/>
    <w:basedOn w:val="1"/>
    <w:link w:val="53"/>
    <w:qFormat/>
    <w:uiPriority w:val="0"/>
    <w:pPr>
      <w:spacing w:line="540" w:lineRule="exact"/>
      <w:ind w:firstLine="200" w:firstLineChars="200"/>
    </w:pPr>
    <w:rPr>
      <w:rFonts w:ascii="宋体" w:hAnsi="宋体" w:cs="Courier New"/>
      <w:b/>
      <w:bCs/>
      <w:sz w:val="28"/>
      <w:szCs w:val="21"/>
    </w:rPr>
  </w:style>
  <w:style w:type="paragraph" w:customStyle="1" w:styleId="55">
    <w:name w:val="p0"/>
    <w:basedOn w:val="1"/>
    <w:qFormat/>
    <w:uiPriority w:val="0"/>
    <w:pPr>
      <w:widowControl/>
    </w:pPr>
    <w:rPr>
      <w:rFonts w:ascii="Times New Roman" w:hAnsi="Times New Roman"/>
      <w:kern w:val="0"/>
      <w:szCs w:val="21"/>
    </w:rPr>
  </w:style>
  <w:style w:type="paragraph" w:customStyle="1" w:styleId="56">
    <w:name w:val="样式 Times New Roman 五号 居中"/>
    <w:basedOn w:val="1"/>
    <w:qFormat/>
    <w:uiPriority w:val="0"/>
    <w:pPr>
      <w:jc w:val="center"/>
    </w:pPr>
    <w:rPr>
      <w:rFonts w:ascii="Times New Roman" w:hAnsi="Times New Roman" w:cs="宋体"/>
      <w:szCs w:val="20"/>
    </w:rPr>
  </w:style>
  <w:style w:type="character" w:customStyle="1" w:styleId="57">
    <w:name w:val="表格题目 Char"/>
    <w:link w:val="58"/>
    <w:qFormat/>
    <w:uiPriority w:val="99"/>
    <w:rPr>
      <w:rFonts w:ascii="黑体" w:hAnsi="宋体" w:eastAsia="黑体"/>
      <w:sz w:val="24"/>
      <w:szCs w:val="24"/>
    </w:rPr>
  </w:style>
  <w:style w:type="paragraph" w:customStyle="1" w:styleId="58">
    <w:name w:val="表格题目"/>
    <w:basedOn w:val="1"/>
    <w:link w:val="57"/>
    <w:qFormat/>
    <w:uiPriority w:val="99"/>
    <w:pPr>
      <w:spacing w:line="240" w:lineRule="atLeast"/>
      <w:jc w:val="center"/>
    </w:pPr>
    <w:rPr>
      <w:rFonts w:ascii="黑体" w:hAnsi="宋体" w:eastAsia="黑体" w:cstheme="minorBidi"/>
      <w:sz w:val="24"/>
      <w:szCs w:val="24"/>
    </w:rPr>
  </w:style>
  <w:style w:type="paragraph" w:customStyle="1" w:styleId="59">
    <w:name w:val="表中文字（工大）"/>
    <w:basedOn w:val="1"/>
    <w:qFormat/>
    <w:uiPriority w:val="0"/>
    <w:pPr>
      <w:spacing w:line="400" w:lineRule="exact"/>
      <w:jc w:val="center"/>
    </w:pPr>
    <w:rPr>
      <w:rFonts w:ascii="Times New Roman" w:hAnsi="Times New Roman"/>
      <w:szCs w:val="24"/>
    </w:rPr>
  </w:style>
  <w:style w:type="paragraph" w:customStyle="1" w:styleId="60">
    <w:name w:val="表格文字"/>
    <w:basedOn w:val="1"/>
    <w:qFormat/>
    <w:uiPriority w:val="0"/>
    <w:pPr>
      <w:autoSpaceDE w:val="0"/>
      <w:autoSpaceDN w:val="0"/>
      <w:spacing w:before="50" w:after="50" w:line="300" w:lineRule="auto"/>
      <w:jc w:val="center"/>
    </w:pPr>
    <w:rPr>
      <w:rFonts w:ascii="Times New Roman" w:hAnsi="Times New Roman"/>
      <w:szCs w:val="20"/>
    </w:rPr>
  </w:style>
  <w:style w:type="paragraph" w:customStyle="1" w:styleId="61">
    <w:name w:val="表格"/>
    <w:basedOn w:val="1"/>
    <w:link w:val="62"/>
    <w:qFormat/>
    <w:uiPriority w:val="0"/>
    <w:pPr>
      <w:widowControl/>
      <w:jc w:val="center"/>
    </w:pPr>
    <w:rPr>
      <w:rFonts w:ascii="Times New Roman" w:hAnsi="Times New Roman"/>
      <w:sz w:val="24"/>
      <w:szCs w:val="24"/>
    </w:rPr>
  </w:style>
  <w:style w:type="character" w:customStyle="1" w:styleId="62">
    <w:name w:val="表格 Char1"/>
    <w:link w:val="61"/>
    <w:locked/>
    <w:uiPriority w:val="0"/>
    <w:rPr>
      <w:rFonts w:ascii="Times New Roman" w:hAnsi="Times New Roman" w:eastAsia="宋体" w:cs="Times New Roman"/>
      <w:sz w:val="24"/>
      <w:szCs w:val="24"/>
    </w:rPr>
  </w:style>
  <w:style w:type="paragraph" w:customStyle="1" w:styleId="63">
    <w:name w:val="表中的文字"/>
    <w:basedOn w:val="1"/>
    <w:link w:val="64"/>
    <w:qFormat/>
    <w:uiPriority w:val="0"/>
    <w:pPr>
      <w:widowControl/>
      <w:snapToGrid w:val="0"/>
      <w:spacing w:line="300" w:lineRule="auto"/>
      <w:jc w:val="center"/>
    </w:pPr>
    <w:rPr>
      <w:rFonts w:ascii="Times New Roman" w:hAnsi="Times New Roman" w:eastAsiaTheme="minorEastAsia"/>
      <w:bCs/>
      <w:szCs w:val="21"/>
    </w:rPr>
  </w:style>
  <w:style w:type="character" w:customStyle="1" w:styleId="64">
    <w:name w:val="表中的文字 Char"/>
    <w:basedOn w:val="28"/>
    <w:link w:val="63"/>
    <w:uiPriority w:val="0"/>
    <w:rPr>
      <w:rFonts w:ascii="Times New Roman" w:hAnsi="Times New Roman" w:cs="Times New Roman"/>
      <w:bCs/>
      <w:szCs w:val="21"/>
    </w:rPr>
  </w:style>
  <w:style w:type="character" w:customStyle="1" w:styleId="65">
    <w:name w:val="报告表格内容 Char"/>
    <w:link w:val="66"/>
    <w:uiPriority w:val="0"/>
  </w:style>
  <w:style w:type="paragraph" w:customStyle="1" w:styleId="66">
    <w:name w:val="报告表格内容"/>
    <w:basedOn w:val="1"/>
    <w:next w:val="1"/>
    <w:link w:val="65"/>
    <w:qFormat/>
    <w:uiPriority w:val="0"/>
    <w:pPr>
      <w:adjustRightInd w:val="0"/>
      <w:snapToGrid w:val="0"/>
      <w:jc w:val="center"/>
    </w:pPr>
    <w:rPr>
      <w:rFonts w:asciiTheme="minorHAnsi" w:hAnsiTheme="minorHAnsi" w:eastAsiaTheme="minorEastAsia" w:cstheme="minorBidi"/>
    </w:rPr>
  </w:style>
  <w:style w:type="character" w:customStyle="1" w:styleId="67">
    <w:name w:val="报告正文 Char"/>
    <w:link w:val="68"/>
    <w:uiPriority w:val="0"/>
    <w:rPr>
      <w:color w:val="000000"/>
      <w:sz w:val="24"/>
    </w:rPr>
  </w:style>
  <w:style w:type="paragraph" w:customStyle="1" w:styleId="68">
    <w:name w:val="报告正文"/>
    <w:basedOn w:val="1"/>
    <w:link w:val="67"/>
    <w:qFormat/>
    <w:uiPriority w:val="0"/>
    <w:pPr>
      <w:tabs>
        <w:tab w:val="left" w:pos="0"/>
      </w:tabs>
      <w:spacing w:line="360" w:lineRule="auto"/>
      <w:ind w:firstLine="200" w:firstLineChars="200"/>
    </w:pPr>
    <w:rPr>
      <w:rFonts w:asciiTheme="minorHAnsi" w:hAnsiTheme="minorHAnsi" w:eastAsiaTheme="minorEastAsia" w:cstheme="minorBidi"/>
      <w:color w:val="000000"/>
      <w:sz w:val="24"/>
    </w:rPr>
  </w:style>
  <w:style w:type="paragraph" w:customStyle="1" w:styleId="69">
    <w:name w:val="样式 样式 样式 标题 4款标题1.1.1.1 南陵标题 4标题 4 CharH4PIM 4h4First Subheadin...."/>
    <w:basedOn w:val="1"/>
    <w:uiPriority w:val="0"/>
    <w:pPr>
      <w:widowControl/>
      <w:spacing w:line="360" w:lineRule="auto"/>
      <w:jc w:val="left"/>
      <w:outlineLvl w:val="3"/>
    </w:pPr>
    <w:rPr>
      <w:rFonts w:ascii="Times New Roman" w:hAnsi="Times New Roman" w:eastAsia="黑体"/>
      <w:sz w:val="24"/>
      <w:szCs w:val="24"/>
    </w:rPr>
  </w:style>
  <w:style w:type="paragraph" w:customStyle="1" w:styleId="70">
    <w:name w:val="样式 小四 居中 行距: 1.5 倍行距"/>
    <w:basedOn w:val="1"/>
    <w:qFormat/>
    <w:uiPriority w:val="0"/>
    <w:pPr>
      <w:widowControl/>
      <w:spacing w:line="360" w:lineRule="auto"/>
      <w:jc w:val="center"/>
    </w:pPr>
    <w:rPr>
      <w:rFonts w:ascii="Times New Roman" w:hAnsi="Times New Roman" w:eastAsia="黑体"/>
      <w:szCs w:val="24"/>
    </w:rPr>
  </w:style>
  <w:style w:type="paragraph" w:customStyle="1" w:styleId="71">
    <w:name w:val="样式 正文首行缩进 + 首行缩进:  2 字符1"/>
    <w:basedOn w:val="25"/>
    <w:qFormat/>
    <w:uiPriority w:val="0"/>
    <w:pPr>
      <w:widowControl/>
      <w:spacing w:after="0" w:line="360" w:lineRule="auto"/>
      <w:ind w:firstLine="480" w:firstLineChars="200"/>
      <w:jc w:val="left"/>
    </w:pPr>
    <w:rPr>
      <w:sz w:val="24"/>
    </w:rPr>
  </w:style>
  <w:style w:type="paragraph" w:customStyle="1" w:styleId="72">
    <w:name w:val="Table Paragraph"/>
    <w:basedOn w:val="1"/>
    <w:qFormat/>
    <w:uiPriority w:val="1"/>
    <w:pPr>
      <w:widowControl/>
      <w:jc w:val="left"/>
    </w:pPr>
    <w:rPr>
      <w:rFonts w:asciiTheme="minorHAnsi" w:hAnsiTheme="minorHAnsi" w:eastAsiaTheme="minorEastAsia" w:cstheme="minorBidi"/>
      <w:kern w:val="0"/>
      <w:sz w:val="22"/>
      <w:lang w:eastAsia="en-US"/>
    </w:rPr>
  </w:style>
  <w:style w:type="paragraph" w:styleId="73">
    <w:name w:val="List Paragraph"/>
    <w:basedOn w:val="1"/>
    <w:qFormat/>
    <w:uiPriority w:val="34"/>
    <w:pPr>
      <w:widowControl/>
      <w:ind w:firstLine="420" w:firstLineChars="200"/>
      <w:jc w:val="left"/>
    </w:pPr>
  </w:style>
  <w:style w:type="paragraph" w:customStyle="1" w:styleId="74">
    <w:name w:val="表"/>
    <w:basedOn w:val="10"/>
    <w:uiPriority w:val="0"/>
    <w:pPr>
      <w:widowControl/>
      <w:tabs>
        <w:tab w:val="left" w:pos="720"/>
        <w:tab w:val="left" w:pos="1454"/>
      </w:tabs>
      <w:adjustRightInd w:val="0"/>
      <w:snapToGrid w:val="0"/>
      <w:spacing w:after="0"/>
      <w:ind w:left="720" w:hanging="720"/>
      <w:jc w:val="center"/>
    </w:pPr>
    <w:rPr>
      <w:rFonts w:ascii="Times New Roman" w:hAnsi="Times New Roman" w:eastAsia="仿宋_GB2312"/>
      <w:sz w:val="24"/>
      <w:szCs w:val="24"/>
    </w:rPr>
  </w:style>
  <w:style w:type="paragraph" w:customStyle="1" w:styleId="75">
    <w:name w:val="表中文字"/>
    <w:basedOn w:val="1"/>
    <w:qFormat/>
    <w:uiPriority w:val="0"/>
    <w:pPr>
      <w:widowControl/>
      <w:jc w:val="center"/>
    </w:pPr>
    <w:rPr>
      <w:rFonts w:ascii="宋体" w:hAnsi="Times New Roman"/>
      <w:kern w:val="0"/>
      <w:sz w:val="24"/>
      <w:szCs w:val="20"/>
    </w:rPr>
  </w:style>
  <w:style w:type="character" w:customStyle="1" w:styleId="76">
    <w:name w:val="正文缩进 Char1"/>
    <w:basedOn w:val="28"/>
    <w:uiPriority w:val="0"/>
    <w:rPr>
      <w:rFonts w:ascii="宋体" w:hAnsi="宋体" w:eastAsia="宋体" w:cs="Times New Roman"/>
      <w:sz w:val="24"/>
      <w:szCs w:val="20"/>
    </w:rPr>
  </w:style>
  <w:style w:type="character" w:customStyle="1" w:styleId="77">
    <w:name w:val="标题 3 Char2"/>
    <w:uiPriority w:val="0"/>
    <w:rPr>
      <w:rFonts w:ascii="黑体" w:hAnsi="宋体" w:eastAsia="黑体" w:cs="Times New Roman"/>
      <w:bCs/>
      <w:sz w:val="28"/>
      <w:szCs w:val="30"/>
      <w:lang w:val="zh-CN" w:eastAsia="zh-CN"/>
    </w:rPr>
  </w:style>
  <w:style w:type="character" w:customStyle="1" w:styleId="78">
    <w:name w:val="普通(网站) Char"/>
    <w:link w:val="22"/>
    <w:locked/>
    <w:uiPriority w:val="99"/>
    <w:rPr>
      <w:rFonts w:ascii="宋体" w:hAnsi="宋体" w:eastAsia="宋体" w:cs="Times New Roman"/>
      <w:kern w:val="0"/>
      <w:sz w:val="24"/>
      <w:szCs w:val="24"/>
      <w:lang w:val="zh-CN" w:eastAsia="zh-CN"/>
    </w:rPr>
  </w:style>
  <w:style w:type="character" w:customStyle="1" w:styleId="79">
    <w:name w:val="日期 Char"/>
    <w:basedOn w:val="28"/>
    <w:link w:val="13"/>
    <w:uiPriority w:val="0"/>
    <w:rPr>
      <w:rFonts w:ascii="Times New Roman" w:hAnsi="Times New Roman" w:eastAsia="宋体" w:cs="Times New Roman"/>
      <w:b/>
      <w:bCs/>
      <w:sz w:val="32"/>
      <w:szCs w:val="24"/>
      <w:lang w:val="zh-CN" w:eastAsia="zh-CN"/>
    </w:rPr>
  </w:style>
  <w:style w:type="character" w:customStyle="1" w:styleId="80">
    <w:name w:val="标题 Char"/>
    <w:link w:val="23"/>
    <w:uiPriority w:val="0"/>
    <w:rPr>
      <w:rFonts w:ascii="仿宋_GB2312" w:eastAsia="仿宋_GB2312"/>
      <w:color w:val="000000"/>
      <w:sz w:val="28"/>
      <w:szCs w:val="28"/>
    </w:rPr>
  </w:style>
  <w:style w:type="character" w:customStyle="1" w:styleId="81">
    <w:name w:val="正文（首行缩进两字） Char Char Char Char Char Char Char Char1"/>
    <w:uiPriority w:val="0"/>
    <w:rPr>
      <w:rFonts w:eastAsia="宋体"/>
      <w:kern w:val="2"/>
      <w:szCs w:val="21"/>
      <w:lang w:val="en-US" w:eastAsia="zh-CN" w:bidi="ar-SA"/>
    </w:rPr>
  </w:style>
  <w:style w:type="character" w:customStyle="1" w:styleId="82">
    <w:name w:val="标题 Char1"/>
    <w:basedOn w:val="28"/>
    <w:uiPriority w:val="10"/>
    <w:rPr>
      <w:rFonts w:eastAsia="宋体" w:asciiTheme="majorHAnsi" w:hAnsiTheme="majorHAnsi" w:cstheme="majorBidi"/>
      <w:b/>
      <w:bCs/>
      <w:sz w:val="32"/>
      <w:szCs w:val="32"/>
    </w:rPr>
  </w:style>
  <w:style w:type="paragraph" w:customStyle="1" w:styleId="83">
    <w:name w:val="表格文字2"/>
    <w:basedOn w:val="1"/>
    <w:qFormat/>
    <w:uiPriority w:val="0"/>
    <w:pPr>
      <w:widowControl/>
      <w:tabs>
        <w:tab w:val="left" w:pos="277"/>
        <w:tab w:val="left" w:pos="600"/>
        <w:tab w:val="left" w:pos="780"/>
        <w:tab w:val="left" w:pos="2517"/>
      </w:tabs>
      <w:adjustRightInd w:val="0"/>
      <w:jc w:val="center"/>
      <w:textAlignment w:val="baseline"/>
    </w:pPr>
    <w:rPr>
      <w:rFonts w:ascii="Times New Roman" w:hAnsi="Times New Roman"/>
      <w:kern w:val="0"/>
      <w:szCs w:val="21"/>
    </w:rPr>
  </w:style>
  <w:style w:type="paragraph" w:customStyle="1" w:styleId="84">
    <w:name w:val="表前文字"/>
    <w:basedOn w:val="1"/>
    <w:uiPriority w:val="0"/>
    <w:pPr>
      <w:widowControl/>
      <w:spacing w:line="360" w:lineRule="auto"/>
      <w:jc w:val="center"/>
    </w:pPr>
    <w:rPr>
      <w:rFonts w:ascii="黑体" w:hAnsi="宋体" w:eastAsia="黑体"/>
      <w:sz w:val="24"/>
      <w:szCs w:val="21"/>
    </w:rPr>
  </w:style>
  <w:style w:type="character" w:customStyle="1" w:styleId="85">
    <w:name w:val="Normal Char Char"/>
    <w:link w:val="86"/>
    <w:uiPriority w:val="0"/>
    <w:rPr>
      <w:rFonts w:ascii="宋体"/>
      <w:sz w:val="24"/>
    </w:rPr>
  </w:style>
  <w:style w:type="paragraph" w:customStyle="1" w:styleId="86">
    <w:name w:val="正文1"/>
    <w:link w:val="85"/>
    <w:qFormat/>
    <w:uiPriority w:val="0"/>
    <w:pPr>
      <w:widowControl w:val="0"/>
      <w:adjustRightInd w:val="0"/>
      <w:spacing w:line="360" w:lineRule="atLeast"/>
      <w:textAlignment w:val="baseline"/>
    </w:pPr>
    <w:rPr>
      <w:rFonts w:ascii="宋体" w:hAnsiTheme="minorHAnsi" w:eastAsiaTheme="minorEastAsia" w:cstheme="minorBidi"/>
      <w:kern w:val="2"/>
      <w:sz w:val="24"/>
      <w:szCs w:val="22"/>
      <w:lang w:val="en-US" w:eastAsia="zh-CN" w:bidi="ar-SA"/>
    </w:rPr>
  </w:style>
  <w:style w:type="paragraph" w:customStyle="1" w:styleId="87">
    <w:name w:val="p19"/>
    <w:basedOn w:val="1"/>
    <w:qFormat/>
    <w:uiPriority w:val="0"/>
    <w:pPr>
      <w:widowControl/>
      <w:jc w:val="center"/>
    </w:pPr>
    <w:rPr>
      <w:rFonts w:ascii="Times New Roman" w:hAnsi="Times New Roman"/>
      <w:kern w:val="0"/>
      <w:szCs w:val="21"/>
    </w:rPr>
  </w:style>
  <w:style w:type="character" w:customStyle="1" w:styleId="88">
    <w:name w:val="正文1 Char"/>
    <w:uiPriority w:val="0"/>
    <w:rPr>
      <w:rFonts w:ascii="Calibri" w:hAnsi="Calibri"/>
      <w:kern w:val="2"/>
      <w:sz w:val="21"/>
      <w:szCs w:val="22"/>
    </w:rPr>
  </w:style>
  <w:style w:type="character" w:customStyle="1" w:styleId="89">
    <w:name w:val="正文文本 3 Char"/>
    <w:basedOn w:val="28"/>
    <w:link w:val="9"/>
    <w:semiHidden/>
    <w:uiPriority w:val="99"/>
    <w:rPr>
      <w:rFonts w:ascii="Calibri" w:hAnsi="Calibri" w:eastAsia="宋体" w:cs="Times New Roman"/>
      <w:sz w:val="16"/>
      <w:szCs w:val="16"/>
    </w:rPr>
  </w:style>
  <w:style w:type="paragraph" w:customStyle="1" w:styleId="90">
    <w:name w:val="样式5"/>
    <w:basedOn w:val="3"/>
    <w:uiPriority w:val="0"/>
    <w:pPr>
      <w:keepLines/>
      <w:widowControl/>
      <w:snapToGrid w:val="0"/>
      <w:spacing w:before="156" w:beforeLines="50" w:line="520" w:lineRule="atLeast"/>
      <w:ind w:firstLine="0" w:firstLineChars="0"/>
      <w:jc w:val="left"/>
    </w:pPr>
    <w:rPr>
      <w:rFonts w:ascii="黑体" w:hAnsi="华文仿宋" w:eastAsia="黑体"/>
      <w:sz w:val="30"/>
      <w:szCs w:val="30"/>
    </w:rPr>
  </w:style>
  <w:style w:type="character" w:customStyle="1" w:styleId="91">
    <w:name w:val="【表中文字】 Char Char"/>
    <w:link w:val="92"/>
    <w:qFormat/>
    <w:uiPriority w:val="0"/>
  </w:style>
  <w:style w:type="paragraph" w:customStyle="1" w:styleId="92">
    <w:name w:val="【表中文字】"/>
    <w:basedOn w:val="1"/>
    <w:link w:val="91"/>
    <w:qFormat/>
    <w:uiPriority w:val="0"/>
    <w:pPr>
      <w:widowControl/>
      <w:jc w:val="center"/>
    </w:pPr>
    <w:rPr>
      <w:rFonts w:asciiTheme="minorHAnsi" w:hAnsiTheme="minorHAnsi" w:eastAsiaTheme="minorEastAsia" w:cstheme="minorBidi"/>
    </w:rPr>
  </w:style>
  <w:style w:type="character" w:customStyle="1" w:styleId="93">
    <w:name w:val="表1 Char Char"/>
    <w:link w:val="94"/>
    <w:uiPriority w:val="0"/>
  </w:style>
  <w:style w:type="paragraph" w:customStyle="1" w:styleId="94">
    <w:name w:val="表1"/>
    <w:next w:val="1"/>
    <w:link w:val="93"/>
    <w:qFormat/>
    <w:uiPriority w:val="0"/>
    <w:pPr>
      <w:adjustRightInd w:val="0"/>
      <w:snapToGrid w:val="0"/>
      <w:jc w:val="center"/>
    </w:pPr>
    <w:rPr>
      <w:rFonts w:asciiTheme="minorHAnsi" w:hAnsiTheme="minorHAnsi" w:eastAsiaTheme="minorEastAsia" w:cstheme="minorBidi"/>
      <w:kern w:val="2"/>
      <w:sz w:val="21"/>
      <w:szCs w:val="22"/>
      <w:lang w:val="en-US" w:eastAsia="zh-CN" w:bidi="ar-SA"/>
    </w:rPr>
  </w:style>
  <w:style w:type="character" w:customStyle="1" w:styleId="95">
    <w:name w:val="样式2 Char Char"/>
    <w:link w:val="96"/>
    <w:uiPriority w:val="0"/>
    <w:rPr>
      <w:rFonts w:ascii="黑体" w:hAnsi="华文仿宋" w:eastAsia="黑体"/>
      <w:sz w:val="32"/>
      <w:szCs w:val="32"/>
    </w:rPr>
  </w:style>
  <w:style w:type="paragraph" w:customStyle="1" w:styleId="96">
    <w:name w:val="样式2"/>
    <w:basedOn w:val="2"/>
    <w:link w:val="95"/>
    <w:qFormat/>
    <w:uiPriority w:val="0"/>
    <w:pPr>
      <w:keepNext w:val="0"/>
      <w:pageBreakBefore/>
      <w:snapToGrid w:val="0"/>
      <w:spacing w:before="100" w:beforeAutospacing="1" w:after="100" w:afterAutospacing="1" w:line="520" w:lineRule="atLeast"/>
    </w:pPr>
    <w:rPr>
      <w:rFonts w:ascii="黑体" w:hAnsi="华文仿宋" w:eastAsia="黑体" w:cstheme="minorBidi"/>
      <w:b w:val="0"/>
      <w:bCs w:val="0"/>
      <w:kern w:val="2"/>
      <w:sz w:val="32"/>
      <w:szCs w:val="32"/>
    </w:rPr>
  </w:style>
  <w:style w:type="paragraph" w:customStyle="1" w:styleId="97">
    <w:name w:val="正文3"/>
    <w:uiPriority w:val="0"/>
    <w:pPr>
      <w:widowControl w:val="0"/>
      <w:adjustRightInd w:val="0"/>
      <w:spacing w:line="360" w:lineRule="atLeast"/>
      <w:textAlignment w:val="baseline"/>
    </w:pPr>
    <w:rPr>
      <w:rFonts w:ascii="宋体" w:hAnsi="Times New Roman" w:eastAsia="宋体" w:cs="Times New Roman"/>
      <w:kern w:val="0"/>
      <w:sz w:val="24"/>
      <w:szCs w:val="20"/>
      <w:lang w:val="en-US" w:eastAsia="zh-CN" w:bidi="ar-SA"/>
    </w:rPr>
  </w:style>
  <w:style w:type="paragraph" w:customStyle="1" w:styleId="98">
    <w:name w:val="表图头的文字"/>
    <w:basedOn w:val="1"/>
    <w:link w:val="99"/>
    <w:qFormat/>
    <w:uiPriority w:val="0"/>
    <w:pPr>
      <w:widowControl/>
      <w:snapToGrid w:val="0"/>
      <w:spacing w:line="520" w:lineRule="exact"/>
      <w:jc w:val="center"/>
    </w:pPr>
    <w:rPr>
      <w:rFonts w:asciiTheme="minorEastAsia" w:hAnsiTheme="minorEastAsia" w:eastAsiaTheme="minorEastAsia"/>
      <w:bCs/>
      <w:sz w:val="24"/>
      <w:szCs w:val="24"/>
    </w:rPr>
  </w:style>
  <w:style w:type="character" w:customStyle="1" w:styleId="99">
    <w:name w:val="表图头的文字 Char"/>
    <w:basedOn w:val="28"/>
    <w:link w:val="98"/>
    <w:uiPriority w:val="0"/>
    <w:rPr>
      <w:rFonts w:cs="Times New Roman" w:asciiTheme="minorEastAsia" w:hAnsiTheme="minorEastAsia"/>
      <w:bCs/>
      <w:sz w:val="24"/>
      <w:szCs w:val="24"/>
    </w:rPr>
  </w:style>
  <w:style w:type="paragraph" w:customStyle="1" w:styleId="100">
    <w:name w:val="正文5"/>
    <w:uiPriority w:val="0"/>
    <w:pPr>
      <w:widowControl w:val="0"/>
      <w:adjustRightInd w:val="0"/>
      <w:spacing w:line="360" w:lineRule="atLeast"/>
      <w:textAlignment w:val="baseline"/>
    </w:pPr>
    <w:rPr>
      <w:rFonts w:ascii="宋体" w:hAnsi="Times New Roman" w:eastAsia="宋体" w:cs="Times New Roman"/>
      <w:kern w:val="0"/>
      <w:sz w:val="24"/>
      <w:szCs w:val="20"/>
      <w:lang w:val="en-US" w:eastAsia="zh-CN" w:bidi="ar-SA"/>
    </w:rPr>
  </w:style>
  <w:style w:type="paragraph" w:customStyle="1" w:styleId="101">
    <w:name w:val="三级标题"/>
    <w:basedOn w:val="1"/>
    <w:next w:val="1"/>
    <w:link w:val="102"/>
    <w:qFormat/>
    <w:uiPriority w:val="0"/>
    <w:pPr>
      <w:widowControl/>
      <w:spacing w:line="520" w:lineRule="exact"/>
      <w:jc w:val="left"/>
    </w:pPr>
    <w:rPr>
      <w:rFonts w:ascii="Times New Roman" w:hAnsi="Times New Roman" w:eastAsia="仿宋_GB2312"/>
      <w:b/>
      <w:color w:val="000000"/>
      <w:sz w:val="28"/>
      <w:szCs w:val="28"/>
    </w:rPr>
  </w:style>
  <w:style w:type="character" w:customStyle="1" w:styleId="102">
    <w:name w:val="三级标题 Char"/>
    <w:basedOn w:val="28"/>
    <w:link w:val="101"/>
    <w:qFormat/>
    <w:uiPriority w:val="0"/>
    <w:rPr>
      <w:rFonts w:ascii="Times New Roman" w:hAnsi="Times New Roman" w:eastAsia="仿宋_GB2312" w:cs="Times New Roman"/>
      <w:b/>
      <w:color w:val="000000"/>
      <w:sz w:val="28"/>
      <w:szCs w:val="28"/>
    </w:rPr>
  </w:style>
  <w:style w:type="paragraph" w:customStyle="1" w:styleId="103">
    <w:name w:val="正文4"/>
    <w:qFormat/>
    <w:uiPriority w:val="0"/>
    <w:pPr>
      <w:widowControl w:val="0"/>
      <w:adjustRightInd w:val="0"/>
      <w:spacing w:line="360" w:lineRule="atLeast"/>
    </w:pPr>
    <w:rPr>
      <w:rFonts w:ascii="宋体" w:hAnsi="Times New Roman" w:eastAsia="宋体" w:cs="Times New Roman"/>
      <w:kern w:val="0"/>
      <w:sz w:val="24"/>
      <w:szCs w:val="20"/>
      <w:lang w:val="en-US" w:eastAsia="zh-CN" w:bidi="ar-SA"/>
    </w:rPr>
  </w:style>
  <w:style w:type="paragraph" w:customStyle="1" w:styleId="104">
    <w:name w:val="4"/>
    <w:basedOn w:val="1"/>
    <w:next w:val="11"/>
    <w:qFormat/>
    <w:uiPriority w:val="0"/>
    <w:pPr>
      <w:widowControl/>
      <w:ind w:left="540"/>
      <w:jc w:val="left"/>
    </w:pPr>
    <w:rPr>
      <w:rFonts w:ascii="宋体" w:hAnsi="Times New Roman"/>
      <w:kern w:val="0"/>
      <w:sz w:val="36"/>
      <w:szCs w:val="20"/>
    </w:rPr>
  </w:style>
  <w:style w:type="character" w:customStyle="1" w:styleId="105">
    <w:name w:val="正文（首行缩进两字） Char1"/>
    <w:basedOn w:val="28"/>
    <w:qFormat/>
    <w:uiPriority w:val="0"/>
    <w:rPr>
      <w:rFonts w:ascii="仿宋_GB2312" w:eastAsia="仿宋_GB2312"/>
      <w:sz w:val="28"/>
    </w:rPr>
  </w:style>
  <w:style w:type="character" w:customStyle="1" w:styleId="106">
    <w:name w:val="【标题3】 Char Char"/>
    <w:link w:val="107"/>
    <w:qFormat/>
    <w:uiPriority w:val="0"/>
    <w:rPr>
      <w:b/>
      <w:bCs/>
      <w:sz w:val="24"/>
      <w:lang w:val="zh-CN" w:eastAsia="zh-CN"/>
    </w:rPr>
  </w:style>
  <w:style w:type="paragraph" w:customStyle="1" w:styleId="107">
    <w:name w:val="【标题3】"/>
    <w:basedOn w:val="4"/>
    <w:link w:val="106"/>
    <w:qFormat/>
    <w:uiPriority w:val="0"/>
    <w:pPr>
      <w:keepNext w:val="0"/>
      <w:widowControl/>
      <w:spacing w:before="60" w:after="60" w:line="440" w:lineRule="exact"/>
    </w:pPr>
    <w:rPr>
      <w:rFonts w:asciiTheme="minorHAnsi" w:hAnsiTheme="minorHAnsi" w:eastAsiaTheme="minorEastAsia" w:cstheme="minorBidi"/>
      <w:sz w:val="24"/>
      <w:szCs w:val="22"/>
      <w:lang w:val="zh-CN" w:eastAsia="zh-CN"/>
    </w:rPr>
  </w:style>
  <w:style w:type="character" w:customStyle="1" w:styleId="108">
    <w:name w:val="【表头】 Char Char"/>
    <w:link w:val="109"/>
    <w:qFormat/>
    <w:uiPriority w:val="0"/>
    <w:rPr>
      <w:b/>
      <w:sz w:val="24"/>
      <w:lang w:val="zh-CN" w:eastAsia="zh-CN"/>
    </w:rPr>
  </w:style>
  <w:style w:type="paragraph" w:customStyle="1" w:styleId="109">
    <w:name w:val="【表头】"/>
    <w:basedOn w:val="1"/>
    <w:link w:val="108"/>
    <w:qFormat/>
    <w:uiPriority w:val="0"/>
    <w:pPr>
      <w:widowControl/>
      <w:spacing w:line="440" w:lineRule="exact"/>
      <w:ind w:firstLine="200" w:firstLineChars="200"/>
      <w:jc w:val="left"/>
    </w:pPr>
    <w:rPr>
      <w:rFonts w:asciiTheme="minorHAnsi" w:hAnsiTheme="minorHAnsi" w:eastAsiaTheme="minorEastAsia" w:cstheme="minorBidi"/>
      <w:b/>
      <w:sz w:val="24"/>
      <w:lang w:val="zh-CN" w:eastAsia="zh-CN"/>
    </w:rPr>
  </w:style>
  <w:style w:type="character" w:customStyle="1" w:styleId="110">
    <w:name w:val="【标题2】 Char Char"/>
    <w:link w:val="111"/>
    <w:qFormat/>
    <w:uiPriority w:val="0"/>
    <w:rPr>
      <w:rFonts w:eastAsia="宋体"/>
      <w:b/>
      <w:bCs/>
      <w:sz w:val="28"/>
    </w:rPr>
  </w:style>
  <w:style w:type="paragraph" w:customStyle="1" w:styleId="111">
    <w:name w:val="【标题2】"/>
    <w:basedOn w:val="3"/>
    <w:link w:val="110"/>
    <w:qFormat/>
    <w:uiPriority w:val="0"/>
    <w:pPr>
      <w:keepNext w:val="0"/>
      <w:keepLines/>
      <w:widowControl/>
      <w:tabs>
        <w:tab w:val="left" w:pos="720"/>
      </w:tabs>
      <w:spacing w:line="440" w:lineRule="exact"/>
      <w:ind w:firstLine="0" w:firstLineChars="0"/>
      <w:jc w:val="both"/>
    </w:pPr>
    <w:rPr>
      <w:rFonts w:asciiTheme="minorHAnsi" w:hAnsiTheme="minorHAnsi" w:cstheme="minorBidi"/>
      <w:b/>
      <w:bCs/>
      <w:szCs w:val="22"/>
    </w:rPr>
  </w:style>
  <w:style w:type="character" w:customStyle="1" w:styleId="112">
    <w:name w:val="【正文】 Char Char"/>
    <w:link w:val="113"/>
    <w:qFormat/>
    <w:uiPriority w:val="0"/>
    <w:rPr>
      <w:sz w:val="24"/>
      <w:lang w:val="zh-CN" w:eastAsia="zh-CN"/>
    </w:rPr>
  </w:style>
  <w:style w:type="paragraph" w:customStyle="1" w:styleId="113">
    <w:name w:val="【正文】"/>
    <w:basedOn w:val="1"/>
    <w:link w:val="112"/>
    <w:qFormat/>
    <w:uiPriority w:val="0"/>
    <w:pPr>
      <w:widowControl/>
      <w:spacing w:line="440" w:lineRule="exact"/>
      <w:ind w:firstLine="200" w:firstLineChars="200"/>
      <w:jc w:val="left"/>
    </w:pPr>
    <w:rPr>
      <w:rFonts w:asciiTheme="minorHAnsi" w:hAnsiTheme="minorHAnsi" w:eastAsiaTheme="minorEastAsia" w:cstheme="minorBidi"/>
      <w:sz w:val="24"/>
      <w:lang w:val="zh-CN" w:eastAsia="zh-CN"/>
    </w:rPr>
  </w:style>
  <w:style w:type="character" w:customStyle="1" w:styleId="114">
    <w:name w:val="【标题4】 Char Char"/>
    <w:link w:val="115"/>
    <w:qFormat/>
    <w:uiPriority w:val="0"/>
    <w:rPr>
      <w:rFonts w:eastAsia="Times New Roman"/>
      <w:b/>
      <w:bCs/>
      <w:sz w:val="24"/>
      <w:lang w:val="zh-CN" w:eastAsia="zh-CN"/>
    </w:rPr>
  </w:style>
  <w:style w:type="paragraph" w:customStyle="1" w:styleId="115">
    <w:name w:val="【标题4】"/>
    <w:basedOn w:val="1"/>
    <w:link w:val="114"/>
    <w:qFormat/>
    <w:uiPriority w:val="0"/>
    <w:pPr>
      <w:keepLines/>
      <w:widowControl/>
      <w:spacing w:line="440" w:lineRule="exact"/>
      <w:jc w:val="left"/>
      <w:outlineLvl w:val="3"/>
    </w:pPr>
    <w:rPr>
      <w:rFonts w:eastAsia="Times New Roman" w:asciiTheme="minorHAnsi" w:hAnsiTheme="minorHAnsi" w:cstheme="minorBidi"/>
      <w:b/>
      <w:bCs/>
      <w:sz w:val="24"/>
      <w:lang w:val="zh-CN" w:eastAsia="zh-CN"/>
    </w:rPr>
  </w:style>
  <w:style w:type="character" w:customStyle="1" w:styleId="116">
    <w:name w:val="【正文】 Char"/>
    <w:qFormat/>
    <w:uiPriority w:val="0"/>
    <w:rPr>
      <w:rFonts w:cs="宋体"/>
      <w:spacing w:val="16"/>
      <w:kern w:val="2"/>
      <w:sz w:val="24"/>
    </w:rPr>
  </w:style>
  <w:style w:type="character" w:customStyle="1" w:styleId="117">
    <w:name w:val="【表头】 Char"/>
    <w:qFormat/>
    <w:uiPriority w:val="0"/>
    <w:rPr>
      <w:rFonts w:eastAsia="黑体" w:cs="宋体"/>
      <w:sz w:val="24"/>
    </w:rPr>
  </w:style>
  <w:style w:type="character" w:customStyle="1" w:styleId="118">
    <w:name w:val="【表中文字】 Char"/>
    <w:qFormat/>
    <w:uiPriority w:val="0"/>
    <w:rPr>
      <w:kern w:val="2"/>
      <w:sz w:val="21"/>
    </w:rPr>
  </w:style>
  <w:style w:type="paragraph" w:customStyle="1" w:styleId="119">
    <w:name w:val="2【正文】"/>
    <w:basedOn w:val="1"/>
    <w:link w:val="120"/>
    <w:qFormat/>
    <w:uiPriority w:val="0"/>
    <w:pPr>
      <w:widowControl/>
      <w:adjustRightInd w:val="0"/>
      <w:snapToGrid w:val="0"/>
      <w:spacing w:line="480" w:lineRule="exact"/>
      <w:ind w:firstLine="560" w:firstLineChars="200"/>
      <w:jc w:val="left"/>
    </w:pPr>
    <w:rPr>
      <w:rFonts w:ascii="仿宋_GB2312" w:hAnsi="Times New Roman" w:eastAsia="仿宋_GB2312"/>
      <w:sz w:val="28"/>
      <w:szCs w:val="28"/>
      <w:lang w:val="zh-CN" w:eastAsia="zh-CN"/>
    </w:rPr>
  </w:style>
  <w:style w:type="character" w:customStyle="1" w:styleId="120">
    <w:name w:val="2【正文】 Char"/>
    <w:link w:val="119"/>
    <w:qFormat/>
    <w:uiPriority w:val="0"/>
    <w:rPr>
      <w:rFonts w:ascii="仿宋_GB2312" w:hAnsi="Times New Roman" w:eastAsia="仿宋_GB2312" w:cs="Times New Roman"/>
      <w:sz w:val="28"/>
      <w:szCs w:val="28"/>
      <w:lang w:val="zh-CN" w:eastAsia="zh-CN"/>
    </w:rPr>
  </w:style>
  <w:style w:type="paragraph" w:customStyle="1" w:styleId="121">
    <w:name w:val="9"/>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2">
    <w:name w:val="cucd-0"/>
    <w:qFormat/>
    <w:uiPriority w:val="0"/>
    <w:pPr>
      <w:spacing w:line="360" w:lineRule="auto"/>
      <w:ind w:firstLine="480" w:firstLineChars="200"/>
    </w:pPr>
    <w:rPr>
      <w:rFonts w:ascii="Times New Roman" w:hAnsi="Times New Roman" w:eastAsia="宋体" w:cs="Times New Roman"/>
      <w:kern w:val="0"/>
      <w:sz w:val="24"/>
      <w:szCs w:val="22"/>
      <w:lang w:val="en-US" w:eastAsia="zh-CN" w:bidi="ar-SA"/>
    </w:rPr>
  </w:style>
  <w:style w:type="paragraph" w:customStyle="1" w:styleId="123">
    <w:name w:val="正文6"/>
    <w:qFormat/>
    <w:uiPriority w:val="0"/>
    <w:pPr>
      <w:widowControl w:val="0"/>
      <w:adjustRightInd w:val="0"/>
      <w:spacing w:line="360" w:lineRule="atLeast"/>
    </w:pPr>
    <w:rPr>
      <w:rFonts w:ascii="宋体" w:hAnsi="Times New Roman" w:eastAsia="宋体" w:cs="Times New Roman"/>
      <w:kern w:val="0"/>
      <w:sz w:val="24"/>
      <w:szCs w:val="20"/>
      <w:lang w:val="en-US" w:eastAsia="zh-CN" w:bidi="ar-SA"/>
    </w:rPr>
  </w:style>
  <w:style w:type="paragraph" w:customStyle="1" w:styleId="124">
    <w:name w:val="DDDDDDDDDDDDDDDDDDDDDDDDDDDDDD"/>
    <w:basedOn w:val="1"/>
    <w:qFormat/>
    <w:uiPriority w:val="0"/>
    <w:pPr>
      <w:snapToGrid w:val="0"/>
      <w:spacing w:line="520" w:lineRule="exact"/>
      <w:jc w:val="left"/>
      <w:outlineLvl w:val="0"/>
    </w:pPr>
    <w:rPr>
      <w:rFonts w:ascii="仿宋_GB2312" w:hAnsi="Times New Roman" w:eastAsia="仿宋_GB2312"/>
      <w:b/>
      <w:kern w:val="0"/>
      <w:sz w:val="28"/>
      <w:szCs w:val="28"/>
    </w:rPr>
  </w:style>
  <w:style w:type="character" w:customStyle="1" w:styleId="125">
    <w:name w:val="表头 Char"/>
    <w:link w:val="126"/>
    <w:qFormat/>
    <w:locked/>
    <w:uiPriority w:val="0"/>
    <w:rPr>
      <w:rFonts w:ascii="Times" w:hAnsi="Times" w:eastAsia="黑体" w:cs="Times"/>
      <w:b/>
      <w:spacing w:val="16"/>
      <w:sz w:val="24"/>
      <w:szCs w:val="24"/>
    </w:rPr>
  </w:style>
  <w:style w:type="paragraph" w:customStyle="1" w:styleId="126">
    <w:name w:val="表头"/>
    <w:basedOn w:val="1"/>
    <w:next w:val="12"/>
    <w:link w:val="125"/>
    <w:qFormat/>
    <w:uiPriority w:val="0"/>
    <w:pPr>
      <w:tabs>
        <w:tab w:val="left" w:pos="4440"/>
      </w:tabs>
      <w:autoSpaceDE w:val="0"/>
      <w:autoSpaceDN w:val="0"/>
      <w:adjustRightInd w:val="0"/>
      <w:snapToGrid w:val="0"/>
      <w:spacing w:beforeLines="25" w:afterLines="25"/>
      <w:jc w:val="center"/>
    </w:pPr>
    <w:rPr>
      <w:rFonts w:ascii="Times" w:hAnsi="Times" w:eastAsia="黑体" w:cs="Times"/>
      <w:b/>
      <w:spacing w:val="16"/>
      <w:sz w:val="24"/>
      <w:szCs w:val="24"/>
    </w:rPr>
  </w:style>
  <w:style w:type="paragraph" w:customStyle="1" w:styleId="127">
    <w:name w:val="表头2"/>
    <w:basedOn w:val="1"/>
    <w:qFormat/>
    <w:uiPriority w:val="0"/>
    <w:pPr>
      <w:spacing w:before="60"/>
      <w:ind w:left="2694"/>
    </w:pPr>
    <w:rPr>
      <w:rFonts w:ascii="Times New Roman" w:hAnsi="Times New Roman" w:eastAsia="黑体"/>
      <w:b/>
      <w:sz w:val="24"/>
      <w:szCs w:val="24"/>
    </w:rPr>
  </w:style>
  <w:style w:type="character" w:customStyle="1" w:styleId="128">
    <w:name w:val="表文字居中 Char Char"/>
    <w:link w:val="129"/>
    <w:qFormat/>
    <w:locked/>
    <w:uiPriority w:val="0"/>
    <w:rPr>
      <w:szCs w:val="24"/>
    </w:rPr>
  </w:style>
  <w:style w:type="paragraph" w:customStyle="1" w:styleId="129">
    <w:name w:val="表文字居中"/>
    <w:link w:val="128"/>
    <w:qFormat/>
    <w:uiPriority w:val="0"/>
    <w:pPr>
      <w:adjustRightInd w:val="0"/>
      <w:spacing w:line="360" w:lineRule="auto"/>
      <w:jc w:val="center"/>
    </w:pPr>
    <w:rPr>
      <w:rFonts w:asciiTheme="minorHAnsi" w:hAnsiTheme="minorHAnsi" w:eastAsiaTheme="minorEastAsia" w:cstheme="minorBidi"/>
      <w:kern w:val="2"/>
      <w:sz w:val="21"/>
      <w:szCs w:val="24"/>
      <w:lang w:val="en-US" w:eastAsia="zh-CN" w:bidi="ar-SA"/>
    </w:rPr>
  </w:style>
  <w:style w:type="character" w:customStyle="1" w:styleId="130">
    <w:name w:val="Normal Char"/>
    <w:qFormat/>
    <w:locked/>
    <w:uiPriority w:val="0"/>
    <w:rPr>
      <w:rFonts w:ascii="宋体" w:hAnsi="宋体" w:eastAsia="宋体"/>
      <w:sz w:val="24"/>
    </w:rPr>
  </w:style>
  <w:style w:type="paragraph" w:customStyle="1" w:styleId="131">
    <w:name w:val="环表头"/>
    <w:basedOn w:val="1"/>
    <w:next w:val="1"/>
    <w:qFormat/>
    <w:uiPriority w:val="0"/>
    <w:pPr>
      <w:suppressAutoHyphens/>
      <w:adjustRightInd w:val="0"/>
      <w:spacing w:line="500" w:lineRule="exact"/>
      <w:ind w:right="28"/>
      <w:jc w:val="center"/>
    </w:pPr>
    <w:rPr>
      <w:rFonts w:ascii="黑体" w:hAnsi="宋体" w:eastAsia="黑体"/>
      <w:kern w:val="0"/>
      <w:sz w:val="24"/>
      <w:szCs w:val="20"/>
    </w:rPr>
  </w:style>
  <w:style w:type="paragraph" w:customStyle="1" w:styleId="132">
    <w:name w:val="正文(首行缩进)宋旭峰"/>
    <w:basedOn w:val="7"/>
    <w:qFormat/>
    <w:uiPriority w:val="0"/>
    <w:pPr>
      <w:snapToGrid w:val="0"/>
      <w:spacing w:line="460" w:lineRule="exact"/>
      <w:ind w:firstLine="0"/>
      <w:contextualSpacing/>
    </w:pPr>
    <w:rPr>
      <w:rFonts w:ascii="Times New Roman" w:hAnsi="Times New Roman" w:eastAsia="黑体" w:cs="Times New Roman"/>
      <w:color w:val="000000"/>
      <w:spacing w:val="-4"/>
      <w:szCs w:val="21"/>
    </w:rPr>
  </w:style>
  <w:style w:type="paragraph" w:customStyle="1" w:styleId="133">
    <w:name w:val="Char"/>
    <w:basedOn w:val="1"/>
    <w:qFormat/>
    <w:uiPriority w:val="0"/>
    <w:pPr>
      <w:snapToGrid w:val="0"/>
      <w:spacing w:line="360" w:lineRule="auto"/>
      <w:ind w:firstLine="529" w:firstLineChars="200"/>
    </w:pPr>
    <w:rPr>
      <w:rFonts w:ascii="宋体" w:hAnsi="宋体"/>
      <w:b/>
      <w:szCs w:val="24"/>
    </w:rPr>
  </w:style>
  <w:style w:type="character" w:customStyle="1" w:styleId="134">
    <w:name w:val="批注文字 Char"/>
    <w:basedOn w:val="28"/>
    <w:link w:val="8"/>
    <w:semiHidden/>
    <w:qFormat/>
    <w:uiPriority w:val="99"/>
    <w:rPr>
      <w:rFonts w:ascii="Calibri" w:hAnsi="Calibri" w:eastAsia="宋体" w:cs="Times New Roman"/>
    </w:rPr>
  </w:style>
  <w:style w:type="character" w:customStyle="1" w:styleId="135">
    <w:name w:val="批注主题 Char"/>
    <w:basedOn w:val="134"/>
    <w:link w:val="24"/>
    <w:semiHidden/>
    <w:qFormat/>
    <w:uiPriority w:val="99"/>
    <w:rPr>
      <w:rFonts w:ascii="Calibri" w:hAnsi="Calibri" w:eastAsia="宋体" w:cs="Times New Roman"/>
      <w:b/>
      <w:bCs/>
    </w:rPr>
  </w:style>
  <w:style w:type="paragraph" w:customStyle="1" w:styleId="136">
    <w:name w:val="首行缩进"/>
    <w:basedOn w:val="1"/>
    <w:qFormat/>
    <w:uiPriority w:val="0"/>
    <w:pPr>
      <w:spacing w:line="460" w:lineRule="atLeast"/>
      <w:ind w:firstLine="200" w:firstLineChars="200"/>
      <w:jc w:val="center"/>
    </w:pPr>
    <w:rPr>
      <w:rFonts w:ascii="Times New Roman" w:hAnsi="Times New Roman" w:eastAsia="黑体"/>
      <w:color w:val="000000"/>
      <w:spacing w:val="20"/>
      <w:sz w:val="24"/>
      <w:szCs w:val="24"/>
    </w:rPr>
  </w:style>
  <w:style w:type="character" w:customStyle="1" w:styleId="137">
    <w:name w:val="纯文本 Char1"/>
    <w:qFormat/>
    <w:locked/>
    <w:uiPriority w:val="0"/>
    <w:rPr>
      <w:rFonts w:ascii="宋体" w:hAnsi="Courier New" w:eastAsia="宋体" w:cs="Times New Roman"/>
      <w:sz w:val="28"/>
      <w:szCs w:val="20"/>
    </w:rPr>
  </w:style>
  <w:style w:type="character" w:customStyle="1" w:styleId="138">
    <w:name w:val="正文00 Char"/>
    <w:link w:val="139"/>
    <w:qFormat/>
    <w:uiPriority w:val="0"/>
    <w:rPr>
      <w:rFonts w:eastAsia="宋体" w:cs="宋体"/>
      <w:sz w:val="24"/>
      <w:szCs w:val="24"/>
    </w:rPr>
  </w:style>
  <w:style w:type="paragraph" w:customStyle="1" w:styleId="139">
    <w:name w:val="正文00"/>
    <w:basedOn w:val="1"/>
    <w:link w:val="138"/>
    <w:qFormat/>
    <w:uiPriority w:val="0"/>
    <w:pPr>
      <w:spacing w:line="360" w:lineRule="auto"/>
      <w:ind w:firstLine="480" w:firstLineChars="200"/>
    </w:pPr>
    <w:rPr>
      <w:rFonts w:cs="宋体" w:asciiTheme="minorHAnsi" w:hAnsiTheme="minorHAnsi"/>
      <w:sz w:val="24"/>
      <w:szCs w:val="24"/>
    </w:rPr>
  </w:style>
  <w:style w:type="table" w:customStyle="1" w:styleId="140">
    <w:name w:val="Table Normal"/>
    <w:semiHidden/>
    <w:unhideWhenUsed/>
    <w:qFormat/>
    <w:uiPriority w:val="2"/>
    <w:pPr>
      <w:widowControl w:val="0"/>
    </w:pPr>
    <w:rPr>
      <w:kern w:val="0"/>
      <w:sz w:val="22"/>
      <w:lang w:eastAsia="en-US"/>
    </w:rPr>
    <w:tblPr>
      <w:tblCellMar>
        <w:top w:w="0" w:type="dxa"/>
        <w:left w:w="0" w:type="dxa"/>
        <w:bottom w:w="0" w:type="dxa"/>
        <w:right w:w="0" w:type="dxa"/>
      </w:tblCellMar>
    </w:tblPr>
  </w:style>
  <w:style w:type="paragraph" w:customStyle="1" w:styleId="141">
    <w:name w:val="Char1"/>
    <w:basedOn w:val="1"/>
    <w:qFormat/>
    <w:uiPriority w:val="0"/>
    <w:pPr>
      <w:spacing w:line="360" w:lineRule="auto"/>
      <w:ind w:firstLine="640" w:firstLineChars="200"/>
    </w:pPr>
    <w:rPr>
      <w:rFonts w:ascii="Times New Roman" w:hAnsi="Times New Roman"/>
      <w:kern w:val="0"/>
      <w:sz w:val="20"/>
      <w:szCs w:val="20"/>
    </w:rPr>
  </w:style>
  <w:style w:type="character" w:customStyle="1" w:styleId="142">
    <w:name w:val="表格正文 Char"/>
    <w:link w:val="143"/>
    <w:qFormat/>
    <w:uiPriority w:val="0"/>
    <w:rPr>
      <w:sz w:val="24"/>
    </w:rPr>
  </w:style>
  <w:style w:type="paragraph" w:customStyle="1" w:styleId="143">
    <w:name w:val="表格正文"/>
    <w:basedOn w:val="1"/>
    <w:link w:val="142"/>
    <w:qFormat/>
    <w:uiPriority w:val="0"/>
    <w:pPr>
      <w:adjustRightInd w:val="0"/>
      <w:spacing w:line="460" w:lineRule="exact"/>
      <w:jc w:val="left"/>
      <w:textAlignment w:val="baseline"/>
    </w:pPr>
    <w:rPr>
      <w:rFonts w:asciiTheme="minorHAnsi" w:hAnsiTheme="minorHAnsi" w:eastAsiaTheme="minorEastAsia" w:cstheme="minorBidi"/>
      <w:sz w:val="24"/>
    </w:rPr>
  </w:style>
  <w:style w:type="paragraph" w:customStyle="1" w:styleId="144">
    <w:name w:val="正文 表格  居中"/>
    <w:basedOn w:val="1"/>
    <w:next w:val="1"/>
    <w:qFormat/>
    <w:uiPriority w:val="0"/>
    <w:pPr>
      <w:spacing w:line="360" w:lineRule="auto"/>
      <w:ind w:firstLine="200" w:firstLineChars="200"/>
      <w:jc w:val="center"/>
    </w:pPr>
    <w:rPr>
      <w:rFonts w:ascii="Times New Roman" w:hAnsi="Times New Roman"/>
      <w:sz w:val="24"/>
      <w:szCs w:val="24"/>
    </w:rPr>
  </w:style>
  <w:style w:type="paragraph" w:customStyle="1" w:styleId="145">
    <w:name w:val="表格内容"/>
    <w:basedOn w:val="1"/>
    <w:qFormat/>
    <w:uiPriority w:val="0"/>
    <w:pPr>
      <w:jc w:val="center"/>
    </w:pPr>
    <w:rPr>
      <w:rFonts w:ascii="Times New Roman" w:hAnsi="Times New Roman"/>
      <w:szCs w:val="20"/>
    </w:rPr>
  </w:style>
  <w:style w:type="paragraph" w:customStyle="1" w:styleId="146">
    <w:name w:val="表内文字"/>
    <w:basedOn w:val="1"/>
    <w:qFormat/>
    <w:uiPriority w:val="0"/>
    <w:pPr>
      <w:widowControl/>
      <w:jc w:val="center"/>
    </w:pPr>
    <w:rPr>
      <w:rFonts w:ascii="宋体" w:hAnsi="宋体"/>
      <w:color w:val="FF6600"/>
      <w:spacing w:val="-8"/>
      <w:szCs w:val="21"/>
    </w:rPr>
  </w:style>
  <w:style w:type="paragraph" w:customStyle="1" w:styleId="147">
    <w:name w:val="样式 Times New Roman 五号 居中1"/>
    <w:basedOn w:val="1"/>
    <w:qFormat/>
    <w:uiPriority w:val="0"/>
    <w:pPr>
      <w:jc w:val="center"/>
    </w:pPr>
    <w:rPr>
      <w:rFonts w:ascii="Times New Roman" w:hAnsi="Times New Roman" w:cs="宋体"/>
      <w:szCs w:val="20"/>
    </w:rPr>
  </w:style>
  <w:style w:type="paragraph" w:customStyle="1" w:styleId="148">
    <w:name w:val="表内"/>
    <w:basedOn w:val="1"/>
    <w:qFormat/>
    <w:uiPriority w:val="0"/>
    <w:pPr>
      <w:jc w:val="center"/>
    </w:pPr>
    <w:rPr>
      <w:rFonts w:ascii="Times New Roman" w:hAnsi="Times New Roman"/>
      <w:kern w:val="0"/>
      <w:szCs w:val="20"/>
    </w:rPr>
  </w:style>
  <w:style w:type="character" w:customStyle="1" w:styleId="149">
    <w:name w:val="内容 Char"/>
    <w:link w:val="150"/>
    <w:qFormat/>
    <w:locked/>
    <w:uiPriority w:val="0"/>
    <w:rPr>
      <w:color w:val="000000"/>
      <w:sz w:val="24"/>
    </w:rPr>
  </w:style>
  <w:style w:type="paragraph" w:customStyle="1" w:styleId="150">
    <w:name w:val="内容"/>
    <w:basedOn w:val="1"/>
    <w:link w:val="149"/>
    <w:qFormat/>
    <w:uiPriority w:val="0"/>
    <w:pPr>
      <w:spacing w:before="156" w:beforeLines="50" w:after="156" w:afterLines="50"/>
      <w:ind w:firstLine="200" w:firstLineChars="200"/>
    </w:pPr>
    <w:rPr>
      <w:rFonts w:asciiTheme="minorHAnsi" w:hAnsiTheme="minorHAnsi" w:eastAsiaTheme="minorEastAsia" w:cstheme="minorBidi"/>
      <w:color w:val="000000"/>
      <w:sz w:val="24"/>
    </w:rPr>
  </w:style>
  <w:style w:type="paragraph" w:customStyle="1" w:styleId="151">
    <w:name w:val="样式 a + 非加粗 首行缩进:  2 字符"/>
    <w:basedOn w:val="1"/>
    <w:qFormat/>
    <w:uiPriority w:val="0"/>
    <w:pPr>
      <w:spacing w:line="540" w:lineRule="exact"/>
      <w:ind w:firstLine="560" w:firstLineChars="200"/>
    </w:pPr>
    <w:rPr>
      <w:rFonts w:ascii="宋体" w:hAnsi="宋体" w:cs="宋体"/>
      <w:sz w:val="28"/>
      <w:szCs w:val="20"/>
    </w:rPr>
  </w:style>
  <w:style w:type="character" w:customStyle="1" w:styleId="152">
    <w:name w:val="页脚 Char1"/>
    <w:basedOn w:val="28"/>
    <w:qFormat/>
    <w:uiPriority w:val="0"/>
  </w:style>
  <w:style w:type="paragraph" w:customStyle="1" w:styleId="153">
    <w:name w:val="表文00"/>
    <w:basedOn w:val="1"/>
    <w:next w:val="1"/>
    <w:link w:val="154"/>
    <w:qFormat/>
    <w:uiPriority w:val="0"/>
    <w:pPr>
      <w:autoSpaceDE w:val="0"/>
      <w:autoSpaceDN w:val="0"/>
      <w:contextualSpacing/>
      <w:jc w:val="center"/>
    </w:pPr>
    <w:rPr>
      <w:rFonts w:ascii="Times New Roman" w:hAnsi="宋体"/>
      <w:kern w:val="0"/>
      <w:szCs w:val="18"/>
    </w:rPr>
  </w:style>
  <w:style w:type="character" w:customStyle="1" w:styleId="154">
    <w:name w:val="表文00 Char"/>
    <w:link w:val="153"/>
    <w:qFormat/>
    <w:uiPriority w:val="0"/>
    <w:rPr>
      <w:rFonts w:ascii="Times New Roman" w:hAnsi="宋体" w:eastAsia="宋体" w:cs="Times New Roman"/>
      <w:kern w:val="0"/>
      <w:szCs w:val="18"/>
    </w:rPr>
  </w:style>
  <w:style w:type="character" w:customStyle="1" w:styleId="155">
    <w:name w:val="正文文本缩进 2 Char"/>
    <w:basedOn w:val="28"/>
    <w:link w:val="14"/>
    <w:semiHidden/>
    <w:qFormat/>
    <w:uiPriority w:val="99"/>
    <w:rPr>
      <w:rFonts w:ascii="Calibri" w:hAnsi="Calibri" w:eastAsia="宋体" w:cs="Times New Roman"/>
    </w:rPr>
  </w:style>
  <w:style w:type="paragraph" w:customStyle="1" w:styleId="156">
    <w:name w:val="表文"/>
    <w:basedOn w:val="1"/>
    <w:link w:val="157"/>
    <w:qFormat/>
    <w:uiPriority w:val="0"/>
    <w:pPr>
      <w:jc w:val="center"/>
    </w:pPr>
    <w:rPr>
      <w:rFonts w:ascii="Times New Roman" w:hAnsi="Times New Roman"/>
      <w:szCs w:val="21"/>
    </w:rPr>
  </w:style>
  <w:style w:type="character" w:customStyle="1" w:styleId="157">
    <w:name w:val="表文 Char"/>
    <w:link w:val="156"/>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image" Target="media/image8.emf"/><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0"/>
    <customShpInfo spid="_x0000_s2053"/>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229CDB-6E8E-44F4-94FD-E4353F83683D}">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70</Pages>
  <Words>6474</Words>
  <Characters>36904</Characters>
  <Lines>307</Lines>
  <Paragraphs>86</Paragraphs>
  <TotalTime>507</TotalTime>
  <ScaleCrop>false</ScaleCrop>
  <LinksUpToDate>false</LinksUpToDate>
  <CharactersWithSpaces>43292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2020-05-27T16:02:00Z</dcterms:created>
  <dc:creator>pc</dc:creator>
  <cp:lastModifiedBy>Administrator</cp:lastModifiedBy>
  <dcterms:modified xsi:type="dcterms:W3CDTF">2020-06-10T07:25:11Z</dcterms:modified>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